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96D2" w14:textId="45BAF4EB" w:rsidR="003A2D43" w:rsidRPr="00281541" w:rsidRDefault="003A2D43" w:rsidP="003A2D43">
      <w:pPr>
        <w:rPr>
          <w:rFonts w:asciiTheme="majorHAnsi" w:hAnsiTheme="majorHAnsi"/>
        </w:rPr>
      </w:pPr>
    </w:p>
    <w:p w14:paraId="46839399" w14:textId="271EBA9A" w:rsidR="003A2D43" w:rsidRPr="00281541" w:rsidRDefault="003A2D43" w:rsidP="003A2D43">
      <w:pPr>
        <w:autoSpaceDE w:val="0"/>
        <w:autoSpaceDN w:val="0"/>
        <w:spacing w:after="200" w:line="276" w:lineRule="auto"/>
        <w:rPr>
          <w:rFonts w:asciiTheme="majorHAnsi" w:hAnsiTheme="majorHAnsi" w:cs="Arial"/>
          <w:sz w:val="24"/>
          <w:szCs w:val="24"/>
        </w:rPr>
      </w:pPr>
      <w:r w:rsidRPr="00281541">
        <w:rPr>
          <w:rFonts w:asciiTheme="majorHAnsi" w:hAnsiTheme="majorHAnsi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48F26C8F">
            <wp:simplePos x="0" y="0"/>
            <wp:positionH relativeFrom="margin">
              <wp:posOffset>2247900</wp:posOffset>
            </wp:positionH>
            <wp:positionV relativeFrom="margin">
              <wp:posOffset>485775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281541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731A26CF" w14:textId="3ED94AEE" w:rsidR="003A2D43" w:rsidRPr="00281541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4D4FDB1E" w14:textId="77777777" w:rsidR="003A2D43" w:rsidRPr="00281541" w:rsidRDefault="003A2D43" w:rsidP="003A2D43">
      <w:pPr>
        <w:autoSpaceDE w:val="0"/>
        <w:autoSpaceDN w:val="0"/>
        <w:spacing w:after="200" w:line="276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13C7EE3A" w14:textId="77777777" w:rsidR="003A2D43" w:rsidRPr="00281541" w:rsidRDefault="003A2D43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780AED46" w14:textId="77777777" w:rsidR="003A2D43" w:rsidRPr="00281541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281541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281541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Centro Cardio-Neuro Oftalmológico y Trasplante</w:t>
      </w:r>
    </w:p>
    <w:p w14:paraId="14EAE977" w14:textId="77777777" w:rsidR="003A2D43" w:rsidRPr="00281541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281541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(CECANOT)</w:t>
      </w:r>
    </w:p>
    <w:p w14:paraId="130B3307" w14:textId="77777777" w:rsidR="003A2D43" w:rsidRPr="00281541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281541">
        <w:rPr>
          <w:rFonts w:asciiTheme="majorHAnsi" w:hAnsiTheme="majorHAnsi"/>
          <w:b/>
          <w:bCs/>
          <w:iCs/>
          <w:sz w:val="28"/>
          <w:szCs w:val="28"/>
        </w:rPr>
        <w:t>TERMINOS DE REFERENCIA PARA EL PROCESO DE COMPRA MENOR</w:t>
      </w:r>
    </w:p>
    <w:p w14:paraId="2FB1613F" w14:textId="77777777" w:rsidR="003A2D43" w:rsidRPr="00281541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281541">
        <w:rPr>
          <w:rFonts w:asciiTheme="majorHAnsi" w:eastAsia="Times New Roman" w:hAnsiTheme="majorHAnsi" w:cs="Arial"/>
          <w:iCs/>
          <w:lang w:val="es-ES" w:eastAsia="es-ES"/>
        </w:rPr>
        <w:t>UNIDAD OPERATIVA DE COMPRAS Y CONTRATACIONES</w:t>
      </w:r>
    </w:p>
    <w:p w14:paraId="42EC6F39" w14:textId="77777777" w:rsidR="003A2D43" w:rsidRPr="00281541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281541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pPr w:leftFromText="141" w:rightFromText="141" w:vertAnchor="text" w:horzAnchor="margin" w:tblpXSpec="center" w:tblpY="4"/>
        <w:tblW w:w="1017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0"/>
        <w:gridCol w:w="4635"/>
        <w:gridCol w:w="146"/>
      </w:tblGrid>
      <w:tr w:rsidR="00C701DD" w:rsidRPr="00281541" w14:paraId="4BB299EA" w14:textId="77777777" w:rsidTr="00C701DD">
        <w:trPr>
          <w:gridAfter w:val="1"/>
          <w:wAfter w:w="131" w:type="dxa"/>
          <w:trHeight w:val="24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613925" w14:textId="77777777" w:rsidR="0024409E" w:rsidRPr="00281541" w:rsidRDefault="0024409E" w:rsidP="00C701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lang w:eastAsia="es-DO"/>
              </w:rPr>
            </w:pPr>
            <w:r w:rsidRPr="00281541">
              <w:rPr>
                <w:rFonts w:asciiTheme="majorHAnsi" w:eastAsia="Times New Roman" w:hAnsiTheme="majorHAnsi" w:cs="Calibri"/>
                <w:b/>
                <w:bCs/>
                <w:color w:val="FFFFFF"/>
                <w:lang w:eastAsia="es-DO"/>
              </w:rPr>
              <w:t xml:space="preserve">No. EXPEDIENTE 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1DA3867" w14:textId="77777777" w:rsidR="0024409E" w:rsidRPr="00281541" w:rsidRDefault="0024409E" w:rsidP="00C701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FFFF"/>
                <w:lang w:eastAsia="es-DO"/>
              </w:rPr>
            </w:pPr>
            <w:r w:rsidRPr="00281541">
              <w:rPr>
                <w:rFonts w:asciiTheme="majorHAnsi" w:eastAsia="Times New Roman" w:hAnsiTheme="majorHAnsi" w:cs="Calibri"/>
                <w:b/>
                <w:bCs/>
                <w:color w:val="FFFFFF"/>
                <w:lang w:eastAsia="es-DO"/>
              </w:rPr>
              <w:t>NOMBRE</w:t>
            </w:r>
          </w:p>
        </w:tc>
      </w:tr>
      <w:tr w:rsidR="00C701DD" w:rsidRPr="00281541" w14:paraId="1CD53E05" w14:textId="77777777" w:rsidTr="00C701DD">
        <w:trPr>
          <w:gridAfter w:val="1"/>
          <w:wAfter w:w="131" w:type="dxa"/>
          <w:trHeight w:val="509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F53" w14:textId="272C6DF6" w:rsidR="0024409E" w:rsidRPr="00281541" w:rsidRDefault="0024409E" w:rsidP="00C701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281541">
              <w:rPr>
                <w:rFonts w:asciiTheme="majorHAnsi" w:eastAsia="Times New Roman" w:hAnsiTheme="majorHAnsi" w:cs="Calibri"/>
                <w:color w:val="000000"/>
                <w:lang w:eastAsia="es-DO"/>
              </w:rPr>
              <w:t>CECANOT-DAF-CM-2021-</w:t>
            </w:r>
            <w:r w:rsidR="000C3B01">
              <w:rPr>
                <w:rFonts w:asciiTheme="majorHAnsi" w:eastAsia="Times New Roman" w:hAnsiTheme="majorHAnsi" w:cs="Calibri"/>
                <w:color w:val="000000"/>
                <w:lang w:eastAsia="es-DO"/>
              </w:rPr>
              <w:t>0165</w:t>
            </w:r>
          </w:p>
        </w:tc>
        <w:tc>
          <w:tcPr>
            <w:tcW w:w="4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5A6A" w14:textId="70291358" w:rsidR="0024409E" w:rsidRPr="00281541" w:rsidRDefault="000C3B01" w:rsidP="00C701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0C3B01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ADQUISICION DE </w:t>
            </w:r>
            <w:proofErr w:type="gramStart"/>
            <w:r w:rsidRPr="000C3B01">
              <w:rPr>
                <w:rFonts w:asciiTheme="majorHAnsi" w:eastAsia="Times New Roman" w:hAnsiTheme="majorHAnsi" w:cs="Calibri"/>
                <w:color w:val="000000"/>
                <w:lang w:eastAsia="es-DO"/>
              </w:rPr>
              <w:t>TICKET</w:t>
            </w:r>
            <w:r w:rsidR="007F0DBC">
              <w:rPr>
                <w:rFonts w:asciiTheme="majorHAnsi" w:eastAsia="Times New Roman" w:hAnsiTheme="majorHAnsi" w:cs="Calibri"/>
                <w:color w:val="000000"/>
                <w:lang w:eastAsia="es-DO"/>
              </w:rPr>
              <w:t>S</w:t>
            </w:r>
            <w:proofErr w:type="gramEnd"/>
            <w:r w:rsidRPr="000C3B01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DE COMBUSTIBLE PERIODO MAYO 2021 A OCTUBRE 2021</w:t>
            </w:r>
          </w:p>
        </w:tc>
      </w:tr>
      <w:tr w:rsidR="00C701DD" w:rsidRPr="00281541" w14:paraId="265A935C" w14:textId="77777777" w:rsidTr="00C701DD">
        <w:trPr>
          <w:trHeight w:val="242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116B" w14:textId="77777777" w:rsidR="0024409E" w:rsidRPr="00281541" w:rsidRDefault="0024409E" w:rsidP="00C701D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</w:p>
        </w:tc>
        <w:tc>
          <w:tcPr>
            <w:tcW w:w="4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A46" w14:textId="77777777" w:rsidR="0024409E" w:rsidRPr="00281541" w:rsidRDefault="0024409E" w:rsidP="00C701D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88D" w14:textId="77777777" w:rsidR="0024409E" w:rsidRPr="00281541" w:rsidRDefault="0024409E" w:rsidP="00C701D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</w:p>
        </w:tc>
      </w:tr>
      <w:tr w:rsidR="00C701DD" w:rsidRPr="00281541" w14:paraId="6DE0A6F1" w14:textId="77777777" w:rsidTr="00C701DD">
        <w:trPr>
          <w:trHeight w:val="242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6E4" w14:textId="77777777" w:rsidR="0024409E" w:rsidRPr="00281541" w:rsidRDefault="0024409E" w:rsidP="00C701D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</w:p>
        </w:tc>
        <w:tc>
          <w:tcPr>
            <w:tcW w:w="4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BB0F" w14:textId="77777777" w:rsidR="0024409E" w:rsidRPr="00281541" w:rsidRDefault="0024409E" w:rsidP="00C701D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63D" w14:textId="77777777" w:rsidR="0024409E" w:rsidRPr="00281541" w:rsidRDefault="0024409E" w:rsidP="00C701D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s-DO"/>
              </w:rPr>
            </w:pPr>
          </w:p>
        </w:tc>
      </w:tr>
    </w:tbl>
    <w:p w14:paraId="0B942DAB" w14:textId="77777777" w:rsidR="003A2D43" w:rsidRPr="00281541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4BDC200B" w14:textId="11E0D8E4" w:rsidR="003A2D43" w:rsidRPr="00281541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9ED61EA" w14:textId="22D24BF7" w:rsidR="00FA628C" w:rsidRPr="00281541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8B9033E" w14:textId="6CBE4A6C" w:rsidR="00FA628C" w:rsidRPr="00281541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B39F676" w14:textId="59B0F5FE" w:rsidR="00FA628C" w:rsidRPr="00281541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4D9E50A" w14:textId="77777777" w:rsidR="00FA628C" w:rsidRPr="00281541" w:rsidRDefault="00FA628C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77777777" w:rsidR="003A2D43" w:rsidRPr="00281541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281541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281541">
        <w:rPr>
          <w:rFonts w:asciiTheme="majorHAnsi" w:hAnsiTheme="majorHAnsi"/>
          <w:iCs/>
          <w:sz w:val="24"/>
          <w:szCs w:val="24"/>
        </w:rPr>
        <w:t>Santo Domingo, Distrito Nacional</w:t>
      </w:r>
    </w:p>
    <w:p w14:paraId="4D590C44" w14:textId="77777777" w:rsidR="003A2D43" w:rsidRPr="00281541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281541">
        <w:rPr>
          <w:rFonts w:asciiTheme="majorHAnsi" w:hAnsiTheme="majorHAnsi"/>
          <w:iCs/>
          <w:sz w:val="24"/>
          <w:szCs w:val="24"/>
        </w:rPr>
        <w:t>República Dominicana</w:t>
      </w:r>
    </w:p>
    <w:p w14:paraId="38D7E6CC" w14:textId="77777777" w:rsidR="00FA628C" w:rsidRPr="00281541" w:rsidRDefault="00FA628C" w:rsidP="003A2D43">
      <w:pPr>
        <w:spacing w:after="200" w:line="276" w:lineRule="auto"/>
        <w:rPr>
          <w:rFonts w:asciiTheme="majorHAnsi" w:hAnsiTheme="majorHAnsi" w:cstheme="minorHAnsi"/>
          <w:b/>
          <w:iCs/>
          <w:sz w:val="24"/>
          <w:szCs w:val="24"/>
        </w:rPr>
      </w:pPr>
    </w:p>
    <w:p w14:paraId="6B9CCA10" w14:textId="00A947CA" w:rsidR="003A2D43" w:rsidRPr="00281541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Objeto del requerimiento</w:t>
      </w:r>
    </w:p>
    <w:p w14:paraId="2D3CDC41" w14:textId="72D81020" w:rsidR="003A2D43" w:rsidRPr="00281541" w:rsidRDefault="00B740EC" w:rsidP="00D06E10">
      <w:pPr>
        <w:autoSpaceDE w:val="0"/>
        <w:autoSpaceDN w:val="0"/>
        <w:spacing w:after="200" w:line="276" w:lineRule="auto"/>
        <w:jc w:val="both"/>
        <w:rPr>
          <w:rFonts w:asciiTheme="majorHAnsi" w:hAnsiTheme="majorHAnsi"/>
          <w:iCs/>
          <w:sz w:val="24"/>
          <w:szCs w:val="24"/>
          <w:lang w:val="es-ES"/>
        </w:rPr>
      </w:pPr>
      <w:r w:rsidRPr="00281541">
        <w:rPr>
          <w:rFonts w:asciiTheme="majorHAnsi" w:hAnsiTheme="majorHAnsi"/>
          <w:sz w:val="24"/>
          <w:szCs w:val="24"/>
        </w:rPr>
        <w:t>R</w:t>
      </w:r>
      <w:r w:rsidR="003A2D43" w:rsidRPr="00281541">
        <w:rPr>
          <w:rFonts w:asciiTheme="majorHAnsi" w:hAnsiTheme="majorHAnsi"/>
          <w:sz w:val="24"/>
          <w:szCs w:val="24"/>
        </w:rPr>
        <w:t>esponde a l</w:t>
      </w:r>
      <w:r w:rsidRPr="00281541">
        <w:rPr>
          <w:rFonts w:asciiTheme="majorHAnsi" w:hAnsiTheme="majorHAnsi"/>
          <w:sz w:val="24"/>
          <w:szCs w:val="24"/>
        </w:rPr>
        <w:t>o</w:t>
      </w:r>
      <w:r w:rsidR="003A2D43" w:rsidRPr="00281541">
        <w:rPr>
          <w:rFonts w:asciiTheme="majorHAnsi" w:hAnsiTheme="majorHAnsi"/>
          <w:sz w:val="24"/>
          <w:szCs w:val="24"/>
        </w:rPr>
        <w:t xml:space="preserve">s </w:t>
      </w:r>
      <w:r w:rsidRPr="00281541">
        <w:rPr>
          <w:rFonts w:asciiTheme="majorHAnsi" w:hAnsiTheme="majorHAnsi"/>
          <w:sz w:val="24"/>
          <w:szCs w:val="24"/>
        </w:rPr>
        <w:t>Términos de Referencia</w:t>
      </w:r>
      <w:r w:rsidR="003A2D43" w:rsidRPr="00281541">
        <w:rPr>
          <w:rFonts w:asciiTheme="majorHAnsi" w:hAnsiTheme="majorHAnsi"/>
          <w:sz w:val="24"/>
          <w:szCs w:val="24"/>
        </w:rPr>
        <w:t xml:space="preserve"> para participar en el Procedimiento de </w:t>
      </w:r>
      <w:r w:rsidR="003A2D43" w:rsidRPr="00281541">
        <w:rPr>
          <w:rFonts w:asciiTheme="majorHAnsi" w:hAnsiTheme="majorHAnsi"/>
          <w:b/>
          <w:bCs/>
          <w:sz w:val="24"/>
          <w:szCs w:val="24"/>
        </w:rPr>
        <w:t>COMPRA MENOR</w:t>
      </w:r>
      <w:r w:rsidR="003A2D43" w:rsidRPr="00281541">
        <w:rPr>
          <w:rFonts w:asciiTheme="majorHAnsi" w:hAnsiTheme="majorHAnsi"/>
          <w:sz w:val="24"/>
          <w:szCs w:val="24"/>
        </w:rPr>
        <w:t xml:space="preserve"> para la</w:t>
      </w:r>
      <w:r w:rsidR="00AB23DA" w:rsidRPr="00281541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</w:t>
      </w:r>
      <w:r w:rsidRPr="00281541">
        <w:rPr>
          <w:rFonts w:asciiTheme="majorHAnsi" w:hAnsiTheme="majorHAnsi"/>
          <w:b/>
          <w:bCs/>
          <w:iCs/>
          <w:sz w:val="24"/>
          <w:szCs w:val="24"/>
          <w:lang w:val="es-ES"/>
        </w:rPr>
        <w:t>“</w:t>
      </w:r>
      <w:r w:rsidR="000C3B01" w:rsidRPr="000C3B01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ADQUISICION DE </w:t>
      </w:r>
      <w:proofErr w:type="gramStart"/>
      <w:r w:rsidR="000C3B01" w:rsidRPr="000C3B01">
        <w:rPr>
          <w:rFonts w:asciiTheme="majorHAnsi" w:hAnsiTheme="majorHAnsi"/>
          <w:b/>
          <w:bCs/>
          <w:iCs/>
          <w:sz w:val="24"/>
          <w:szCs w:val="24"/>
          <w:lang w:val="es-ES"/>
        </w:rPr>
        <w:t>TICKET</w:t>
      </w:r>
      <w:r w:rsidR="007F0DBC">
        <w:rPr>
          <w:rFonts w:asciiTheme="majorHAnsi" w:hAnsiTheme="majorHAnsi"/>
          <w:b/>
          <w:bCs/>
          <w:iCs/>
          <w:sz w:val="24"/>
          <w:szCs w:val="24"/>
          <w:lang w:val="es-ES"/>
        </w:rPr>
        <w:t>S</w:t>
      </w:r>
      <w:proofErr w:type="gramEnd"/>
      <w:r w:rsidR="000C3B01" w:rsidRPr="000C3B01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DE COMBUSTIBLE PERIODO MAYO 2021 A OCTUBRE 2021</w:t>
      </w:r>
      <w:r w:rsidRPr="00281541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” </w:t>
      </w:r>
      <w:r w:rsidRPr="00281541">
        <w:rPr>
          <w:rFonts w:asciiTheme="majorHAnsi" w:hAnsiTheme="majorHAnsi"/>
          <w:iCs/>
          <w:sz w:val="24"/>
          <w:szCs w:val="24"/>
          <w:lang w:val="es-ES"/>
        </w:rPr>
        <w:t>de acuerdo con las condiciones fijadas en el presente documento.</w:t>
      </w:r>
      <w:r w:rsidRPr="00281541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</w:t>
      </w:r>
      <w:r w:rsidRPr="00281541">
        <w:rPr>
          <w:rFonts w:asciiTheme="majorHAnsi" w:hAnsiTheme="majorHAnsi"/>
          <w:sz w:val="24"/>
          <w:szCs w:val="24"/>
        </w:rPr>
        <w:t>V</w:t>
      </w:r>
      <w:r w:rsidR="003A2D43" w:rsidRPr="00281541">
        <w:rPr>
          <w:rFonts w:asciiTheme="majorHAnsi" w:hAnsiTheme="majorHAnsi"/>
          <w:sz w:val="24"/>
          <w:szCs w:val="24"/>
        </w:rPr>
        <w:t xml:space="preserve">er a continuación especificaciones técnicas </w:t>
      </w:r>
      <w:r w:rsidR="00376B0D" w:rsidRPr="00281541">
        <w:rPr>
          <w:rFonts w:asciiTheme="majorHAnsi" w:hAnsiTheme="majorHAnsi"/>
          <w:sz w:val="24"/>
          <w:szCs w:val="24"/>
        </w:rPr>
        <w:t xml:space="preserve">debajo </w:t>
      </w:r>
      <w:r w:rsidR="003A2D43" w:rsidRPr="00281541">
        <w:rPr>
          <w:rFonts w:asciiTheme="majorHAnsi" w:hAnsiTheme="majorHAnsi"/>
          <w:sz w:val="24"/>
          <w:szCs w:val="24"/>
        </w:rPr>
        <w:t>solicitadas:</w:t>
      </w:r>
    </w:p>
    <w:tbl>
      <w:tblPr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847"/>
        <w:gridCol w:w="741"/>
        <w:gridCol w:w="672"/>
        <w:gridCol w:w="770"/>
        <w:gridCol w:w="760"/>
        <w:gridCol w:w="717"/>
        <w:gridCol w:w="1314"/>
        <w:gridCol w:w="1801"/>
      </w:tblGrid>
      <w:tr w:rsidR="00B740EC" w:rsidRPr="00B740EC" w14:paraId="618927FF" w14:textId="77777777" w:rsidTr="007F0DBC">
        <w:trPr>
          <w:trHeight w:val="438"/>
        </w:trPr>
        <w:tc>
          <w:tcPr>
            <w:tcW w:w="9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14:paraId="7714518B" w14:textId="4B7B7F54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Tickets de combustibles para el periodo Mayo</w:t>
            </w:r>
            <w:r w:rsidR="00D61F2C" w:rsidRPr="00281541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 </w:t>
            </w: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-</w:t>
            </w:r>
            <w:r w:rsidR="00D61F2C" w:rsidRPr="00281541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 </w:t>
            </w:r>
            <w:proofErr w:type="gramStart"/>
            <w:r w:rsidR="000C3B01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O</w:t>
            </w:r>
            <w:r w:rsidR="000C3B01"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ctubre</w:t>
            </w:r>
            <w:proofErr w:type="gramEnd"/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 2021</w:t>
            </w:r>
          </w:p>
        </w:tc>
      </w:tr>
      <w:tr w:rsidR="00B740EC" w:rsidRPr="00281541" w14:paraId="78ABD029" w14:textId="77777777" w:rsidTr="007F0DBC">
        <w:trPr>
          <w:trHeight w:val="555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D04E0E" w14:textId="65EF90E3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DENOMINACION </w:t>
            </w:r>
            <w:proofErr w:type="gramStart"/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TICKET</w:t>
            </w:r>
            <w:r w:rsidR="007F0DB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S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34F68EC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may-21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878E68D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jun-21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1316745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jul-21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F53ADD1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ago-21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83FE632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sep-21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66ED9A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oct-21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5A03B60" w14:textId="245002F3" w:rsidR="00B740EC" w:rsidRPr="00B740EC" w:rsidRDefault="000C3B01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Total,</w:t>
            </w:r>
            <w:r w:rsidR="00B740EC"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 Semestral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F12A0B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>VALOR</w:t>
            </w:r>
          </w:p>
        </w:tc>
      </w:tr>
      <w:tr w:rsidR="00B740EC" w:rsidRPr="00281541" w14:paraId="7CFDD0AD" w14:textId="77777777" w:rsidTr="00B740EC">
        <w:trPr>
          <w:trHeight w:val="292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CA1" w14:textId="77777777" w:rsidR="00B740EC" w:rsidRPr="00B740EC" w:rsidRDefault="00B740EC" w:rsidP="00B740EC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8085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34AD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9D5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30B5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FAA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936A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2E5C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BFE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$        300,000.00 </w:t>
            </w:r>
          </w:p>
        </w:tc>
      </w:tr>
      <w:tr w:rsidR="00B740EC" w:rsidRPr="00281541" w14:paraId="7908155D" w14:textId="77777777" w:rsidTr="00B740EC">
        <w:trPr>
          <w:trHeight w:val="292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225" w14:textId="77777777" w:rsidR="00B740EC" w:rsidRPr="00B740EC" w:rsidRDefault="00B740EC" w:rsidP="00B740EC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A4AC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58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8CAF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E66D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6B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2638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2057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75F5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$        150,000.00 </w:t>
            </w:r>
          </w:p>
        </w:tc>
      </w:tr>
      <w:tr w:rsidR="00B740EC" w:rsidRPr="00281541" w14:paraId="3D53246C" w14:textId="77777777" w:rsidTr="00B740EC">
        <w:trPr>
          <w:trHeight w:val="292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710" w14:textId="77777777" w:rsidR="00B740EC" w:rsidRPr="00B740EC" w:rsidRDefault="00B740EC" w:rsidP="00B740EC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500.00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7868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EE38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BC47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2DB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44D7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B84F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20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59C8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$        120,000.00 </w:t>
            </w:r>
          </w:p>
        </w:tc>
      </w:tr>
      <w:tr w:rsidR="00B740EC" w:rsidRPr="00281541" w14:paraId="78374F7C" w14:textId="77777777" w:rsidTr="00B740EC">
        <w:trPr>
          <w:trHeight w:val="292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A1D" w14:textId="77777777" w:rsidR="00B740EC" w:rsidRPr="00B740EC" w:rsidRDefault="00B740EC" w:rsidP="00B740EC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D1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60C4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2841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291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0D0F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BDC1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5FD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4EE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$           24,000.00 </w:t>
            </w:r>
          </w:p>
        </w:tc>
      </w:tr>
      <w:tr w:rsidR="00B740EC" w:rsidRPr="00281541" w14:paraId="029A6B0F" w14:textId="77777777" w:rsidTr="00B740EC">
        <w:trPr>
          <w:trHeight w:val="292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4001" w14:textId="77777777" w:rsidR="00B740EC" w:rsidRPr="00B740EC" w:rsidRDefault="00B740EC" w:rsidP="00B740EC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5F39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718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784E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3A73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401F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FEE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4FEB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EC7" w14:textId="77777777" w:rsidR="00B740EC" w:rsidRPr="00B740EC" w:rsidRDefault="00B740EC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$              6,000.00 </w:t>
            </w:r>
          </w:p>
        </w:tc>
      </w:tr>
      <w:tr w:rsidR="00B740EC" w:rsidRPr="00B740EC" w14:paraId="7B11EED0" w14:textId="77777777" w:rsidTr="00B740EC">
        <w:trPr>
          <w:trHeight w:val="292"/>
        </w:trPr>
        <w:tc>
          <w:tcPr>
            <w:tcW w:w="7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CBDA" w14:textId="6F0D6CD2" w:rsidR="00B740EC" w:rsidRPr="00B740EC" w:rsidRDefault="000C3B01" w:rsidP="00B74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lang w:eastAsia="es-DO"/>
              </w:rPr>
            </w:pPr>
            <w:proofErr w:type="gramStart"/>
            <w:r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>TOTAL</w:t>
            </w:r>
            <w:proofErr w:type="gramEnd"/>
            <w:r w:rsidR="00B740EC" w:rsidRPr="00B740EC">
              <w:rPr>
                <w:rFonts w:asciiTheme="majorHAnsi" w:eastAsia="Times New Roman" w:hAnsiTheme="majorHAnsi" w:cs="Calibri"/>
                <w:color w:val="000000"/>
                <w:lang w:eastAsia="es-DO"/>
              </w:rPr>
              <w:t xml:space="preserve"> SEMESTRAL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D40" w14:textId="77777777" w:rsidR="00B740EC" w:rsidRPr="00B740EC" w:rsidRDefault="00B740EC" w:rsidP="00B740E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</w:pPr>
            <w:r w:rsidRPr="00B740EC">
              <w:rPr>
                <w:rFonts w:asciiTheme="majorHAnsi" w:eastAsia="Times New Roman" w:hAnsiTheme="majorHAnsi" w:cs="Calibri"/>
                <w:b/>
                <w:bCs/>
                <w:color w:val="000000"/>
                <w:lang w:eastAsia="es-DO"/>
              </w:rPr>
              <w:t xml:space="preserve"> $     600,000.00 </w:t>
            </w:r>
          </w:p>
        </w:tc>
      </w:tr>
    </w:tbl>
    <w:p w14:paraId="0686AB28" w14:textId="77777777" w:rsidR="00FA628C" w:rsidRPr="00281541" w:rsidRDefault="00FA628C" w:rsidP="00D61F2C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es-ES" w:eastAsia="es-ES"/>
        </w:rPr>
      </w:pPr>
    </w:p>
    <w:p w14:paraId="4924F552" w14:textId="77777777" w:rsidR="00FA628C" w:rsidRPr="007F0DBC" w:rsidRDefault="00FA628C" w:rsidP="005B7155">
      <w:pPr>
        <w:spacing w:after="0" w:line="240" w:lineRule="auto"/>
        <w:rPr>
          <w:rFonts w:asciiTheme="majorHAnsi" w:hAnsiTheme="majorHAnsi" w:cstheme="minorHAnsi"/>
          <w:b/>
          <w:sz w:val="28"/>
          <w:szCs w:val="28"/>
          <w:u w:val="single"/>
          <w:lang w:val="es-ES" w:eastAsia="es-ES"/>
        </w:rPr>
      </w:pPr>
    </w:p>
    <w:p w14:paraId="5FEC4514" w14:textId="6AB3F649" w:rsidR="00A13201" w:rsidRPr="007F0DBC" w:rsidRDefault="00343C72" w:rsidP="000C3B01">
      <w:pPr>
        <w:spacing w:after="0" w:line="240" w:lineRule="auto"/>
        <w:rPr>
          <w:rFonts w:asciiTheme="majorHAnsi" w:hAnsiTheme="majorHAnsi" w:cstheme="minorHAnsi"/>
          <w:b/>
          <w:sz w:val="36"/>
          <w:szCs w:val="36"/>
          <w:u w:val="single"/>
          <w:lang w:val="es-ES" w:eastAsia="es-ES"/>
        </w:rPr>
      </w:pPr>
      <w:r w:rsidRPr="007F0DBC">
        <w:rPr>
          <w:rFonts w:asciiTheme="majorHAnsi" w:hAnsiTheme="majorHAnsi" w:cstheme="minorHAnsi"/>
          <w:b/>
          <w:sz w:val="28"/>
          <w:szCs w:val="28"/>
          <w:u w:val="single"/>
          <w:lang w:val="es-ES" w:eastAsia="es-ES"/>
        </w:rPr>
        <w:t>Observaciones</w:t>
      </w:r>
      <w:r w:rsidR="00A13201" w:rsidRPr="007F0DBC">
        <w:rPr>
          <w:rFonts w:asciiTheme="majorHAnsi" w:hAnsiTheme="majorHAnsi" w:cstheme="minorHAnsi"/>
          <w:b/>
          <w:sz w:val="28"/>
          <w:szCs w:val="28"/>
          <w:u w:val="single"/>
          <w:lang w:val="es-ES" w:eastAsia="es-ES"/>
        </w:rPr>
        <w:t>:</w:t>
      </w:r>
    </w:p>
    <w:p w14:paraId="7E6179AB" w14:textId="18435BC0" w:rsidR="00D06E10" w:rsidRPr="00281541" w:rsidRDefault="00D06E10" w:rsidP="00AB23D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es-ES" w:eastAsia="es-ES"/>
        </w:rPr>
      </w:pPr>
    </w:p>
    <w:p w14:paraId="7B4B4D17" w14:textId="7B58358D" w:rsidR="00D61F2C" w:rsidRPr="00281541" w:rsidRDefault="00D61F2C" w:rsidP="00D61F2C">
      <w:p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El suministro de combustible a través de </w:t>
      </w:r>
      <w:proofErr w:type="gramStart"/>
      <w:r w:rsidRPr="00281541">
        <w:rPr>
          <w:rFonts w:asciiTheme="majorHAnsi" w:hAnsiTheme="majorHAnsi" w:cs="Arial"/>
        </w:rPr>
        <w:t>tickets</w:t>
      </w:r>
      <w:proofErr w:type="gramEnd"/>
      <w:r w:rsidRPr="00281541">
        <w:rPr>
          <w:rFonts w:asciiTheme="majorHAnsi" w:hAnsiTheme="majorHAnsi" w:cs="Arial"/>
        </w:rPr>
        <w:t xml:space="preserve"> será realizado de forma periódica según la necesidad de abastecimiento del centro</w:t>
      </w:r>
      <w:r w:rsidR="007F0DBC">
        <w:rPr>
          <w:rFonts w:asciiTheme="majorHAnsi" w:hAnsiTheme="majorHAnsi" w:cs="Arial"/>
        </w:rPr>
        <w:t xml:space="preserve"> aproximadamente los días 25 de cada mes</w:t>
      </w:r>
      <w:r w:rsidRPr="00281541">
        <w:rPr>
          <w:rFonts w:asciiTheme="majorHAnsi" w:hAnsiTheme="majorHAnsi" w:cs="Arial"/>
        </w:rPr>
        <w:t xml:space="preserve">, por lo que, los mismos deberán ser entregados en las fechas, cantidades y denominaciones establecidas y requeridas en un plazo no mayor de 24 horas a partir de la solicitud de los mismos. Dichos </w:t>
      </w:r>
      <w:proofErr w:type="gramStart"/>
      <w:r w:rsidRPr="00281541">
        <w:rPr>
          <w:rFonts w:asciiTheme="majorHAnsi" w:hAnsiTheme="majorHAnsi" w:cs="Arial"/>
        </w:rPr>
        <w:t>tickets</w:t>
      </w:r>
      <w:proofErr w:type="gramEnd"/>
      <w:r w:rsidRPr="00281541">
        <w:rPr>
          <w:rFonts w:asciiTheme="majorHAnsi" w:hAnsiTheme="majorHAnsi" w:cs="Arial"/>
        </w:rPr>
        <w:t xml:space="preserve"> serán válidos por un año, a partir de su emisión, para la adquisición y consumo de todo tipo de combustible que al momento de su canje sea requerido, abasteciendo y no excediendo la cantidad o denominación indicada en el mismo.</w:t>
      </w:r>
    </w:p>
    <w:p w14:paraId="30783391" w14:textId="77777777" w:rsidR="00D61F2C" w:rsidRPr="00281541" w:rsidRDefault="00D61F2C" w:rsidP="00D61F2C">
      <w:pPr>
        <w:jc w:val="both"/>
        <w:rPr>
          <w:rFonts w:asciiTheme="majorHAnsi" w:hAnsiTheme="majorHAnsi" w:cs="Arial"/>
        </w:rPr>
      </w:pPr>
    </w:p>
    <w:p w14:paraId="3AC0B61B" w14:textId="0E5F068A" w:rsidR="00D61F2C" w:rsidRPr="00281541" w:rsidRDefault="00D61F2C" w:rsidP="00D61F2C">
      <w:pPr>
        <w:jc w:val="both"/>
        <w:rPr>
          <w:rFonts w:asciiTheme="majorHAnsi" w:hAnsiTheme="majorHAnsi" w:cs="Arial"/>
          <w:b/>
        </w:rPr>
      </w:pPr>
      <w:r w:rsidRPr="00281541">
        <w:rPr>
          <w:rFonts w:asciiTheme="majorHAnsi" w:hAnsiTheme="majorHAnsi" w:cs="Arial"/>
          <w:b/>
        </w:rPr>
        <w:t xml:space="preserve">Especificaciones de los </w:t>
      </w:r>
      <w:proofErr w:type="gramStart"/>
      <w:r w:rsidRPr="00281541">
        <w:rPr>
          <w:rFonts w:asciiTheme="majorHAnsi" w:hAnsiTheme="majorHAnsi" w:cs="Arial"/>
          <w:b/>
        </w:rPr>
        <w:t>Tickets</w:t>
      </w:r>
      <w:proofErr w:type="gramEnd"/>
      <w:r w:rsidRPr="00281541">
        <w:rPr>
          <w:rFonts w:asciiTheme="majorHAnsi" w:hAnsiTheme="majorHAnsi" w:cs="Arial"/>
          <w:b/>
        </w:rPr>
        <w:t>:</w:t>
      </w:r>
    </w:p>
    <w:p w14:paraId="0E170992" w14:textId="77777777" w:rsidR="00D61F2C" w:rsidRPr="00281541" w:rsidRDefault="00D61F2C" w:rsidP="00D61F2C">
      <w:pPr>
        <w:pStyle w:val="Prrafodelista"/>
        <w:numPr>
          <w:ilvl w:val="0"/>
          <w:numId w:val="15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Deben poseer una vigencia mínima de un (1) año de uso a partir de su emisión y serán entregados a requerimientos de la institución.</w:t>
      </w:r>
    </w:p>
    <w:p w14:paraId="24D6DEC3" w14:textId="77777777" w:rsidR="00D61F2C" w:rsidRPr="00281541" w:rsidRDefault="00D61F2C" w:rsidP="00D61F2C">
      <w:pPr>
        <w:pStyle w:val="Prrafodelista"/>
        <w:numPr>
          <w:ilvl w:val="0"/>
          <w:numId w:val="15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Los </w:t>
      </w:r>
      <w:proofErr w:type="gramStart"/>
      <w:r w:rsidRPr="00281541">
        <w:rPr>
          <w:rFonts w:asciiTheme="majorHAnsi" w:hAnsiTheme="majorHAnsi" w:cs="Arial"/>
        </w:rPr>
        <w:t>tickets</w:t>
      </w:r>
      <w:proofErr w:type="gramEnd"/>
      <w:r w:rsidRPr="00281541">
        <w:rPr>
          <w:rFonts w:asciiTheme="majorHAnsi" w:hAnsiTheme="majorHAnsi" w:cs="Arial"/>
        </w:rPr>
        <w:t xml:space="preserve"> deberán ser válidos y aceptados en todas las estaciones existentes del oferente.</w:t>
      </w:r>
    </w:p>
    <w:p w14:paraId="622CA592" w14:textId="2B778B2C" w:rsidR="00D61F2C" w:rsidRPr="00281541" w:rsidRDefault="00D61F2C" w:rsidP="00D61F2C">
      <w:pPr>
        <w:pStyle w:val="Prrafodelista"/>
        <w:numPr>
          <w:ilvl w:val="0"/>
          <w:numId w:val="15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Presentar varias denominaciones de RD$ 100.00, RD$ 200.00, RD$ 500.00, RD$ 1,000.00 y RD$ </w:t>
      </w:r>
      <w:r w:rsidR="00F206EE" w:rsidRPr="00281541">
        <w:rPr>
          <w:rFonts w:asciiTheme="majorHAnsi" w:hAnsiTheme="majorHAnsi" w:cs="Arial"/>
        </w:rPr>
        <w:t>2,000.00.</w:t>
      </w:r>
    </w:p>
    <w:p w14:paraId="7380FA35" w14:textId="1BD7D0DB" w:rsidR="00D61F2C" w:rsidRDefault="00D61F2C" w:rsidP="00F206EE">
      <w:pPr>
        <w:jc w:val="both"/>
        <w:rPr>
          <w:rFonts w:asciiTheme="majorHAnsi" w:hAnsiTheme="majorHAnsi" w:cs="Arial"/>
        </w:rPr>
      </w:pPr>
    </w:p>
    <w:p w14:paraId="417416D5" w14:textId="1D9CC8D7" w:rsidR="00F206EE" w:rsidRDefault="00F206EE" w:rsidP="00F206EE">
      <w:pPr>
        <w:jc w:val="both"/>
        <w:rPr>
          <w:rFonts w:asciiTheme="majorHAnsi" w:hAnsiTheme="majorHAnsi" w:cs="Arial"/>
        </w:rPr>
      </w:pPr>
    </w:p>
    <w:p w14:paraId="22D1A351" w14:textId="5F7331A4" w:rsidR="00F206EE" w:rsidRDefault="00F206EE" w:rsidP="00F206EE">
      <w:pPr>
        <w:jc w:val="both"/>
        <w:rPr>
          <w:rFonts w:asciiTheme="majorHAnsi" w:hAnsiTheme="majorHAnsi" w:cs="Arial"/>
        </w:rPr>
      </w:pPr>
    </w:p>
    <w:p w14:paraId="04DF69D6" w14:textId="77777777" w:rsidR="00F206EE" w:rsidRPr="00F206EE" w:rsidRDefault="00F206EE" w:rsidP="00F206EE">
      <w:pPr>
        <w:jc w:val="both"/>
        <w:rPr>
          <w:rFonts w:asciiTheme="majorHAnsi" w:hAnsiTheme="majorHAnsi" w:cs="Arial"/>
        </w:rPr>
      </w:pPr>
    </w:p>
    <w:p w14:paraId="65D8BDDC" w14:textId="2C3A5EB3" w:rsidR="00D61F2C" w:rsidRPr="00281541" w:rsidRDefault="00D61F2C" w:rsidP="00D61F2C">
      <w:pPr>
        <w:pStyle w:val="Prrafodelista"/>
        <w:numPr>
          <w:ilvl w:val="0"/>
          <w:numId w:val="15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La entrega de combustible a través de </w:t>
      </w:r>
      <w:proofErr w:type="gramStart"/>
      <w:r w:rsidRPr="00281541">
        <w:rPr>
          <w:rFonts w:asciiTheme="majorHAnsi" w:hAnsiTheme="majorHAnsi" w:cs="Arial"/>
        </w:rPr>
        <w:t>tickets</w:t>
      </w:r>
      <w:proofErr w:type="gramEnd"/>
      <w:r w:rsidRPr="00281541">
        <w:rPr>
          <w:rFonts w:asciiTheme="majorHAnsi" w:hAnsiTheme="majorHAnsi" w:cs="Arial"/>
        </w:rPr>
        <w:t xml:space="preserve"> se hará mensualmente en las fechas, cantidades establecidas y en las denominaciones requeridas por la CECANOT, debiendo emitir una factura por cada entrega.</w:t>
      </w:r>
    </w:p>
    <w:p w14:paraId="46F8895F" w14:textId="77777777" w:rsidR="00D61F2C" w:rsidRPr="00281541" w:rsidRDefault="00D61F2C" w:rsidP="00D61F2C">
      <w:pPr>
        <w:jc w:val="both"/>
        <w:rPr>
          <w:rFonts w:asciiTheme="majorHAnsi" w:hAnsiTheme="majorHAnsi" w:cs="Arial"/>
          <w:color w:val="FF0000"/>
        </w:rPr>
      </w:pPr>
    </w:p>
    <w:p w14:paraId="67AE8FA8" w14:textId="64AA077D" w:rsidR="00D61F2C" w:rsidRPr="00281541" w:rsidRDefault="00D61F2C" w:rsidP="00D61F2C">
      <w:p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  <w:b/>
        </w:rPr>
        <w:t>Condiciones mínimas de las Estaciones de combustible</w:t>
      </w:r>
      <w:r w:rsidRPr="00281541">
        <w:rPr>
          <w:rFonts w:asciiTheme="majorHAnsi" w:hAnsiTheme="majorHAnsi" w:cs="Arial"/>
        </w:rPr>
        <w:t>:</w:t>
      </w:r>
    </w:p>
    <w:p w14:paraId="2ECA10F3" w14:textId="77777777" w:rsidR="00D61F2C" w:rsidRPr="00281541" w:rsidRDefault="00D61F2C" w:rsidP="00D61F2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La estación deberá contar con sistema de seguridad, control de accidentes y/o incendios. </w:t>
      </w:r>
    </w:p>
    <w:p w14:paraId="18F909DB" w14:textId="77777777" w:rsidR="00D61F2C" w:rsidRPr="00281541" w:rsidRDefault="00D61F2C" w:rsidP="00D61F2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Deberán contar con Surtidores electrónico-digital y con capacidad para controlar el consumo por galones y en Peso Dominicano. </w:t>
      </w:r>
    </w:p>
    <w:p w14:paraId="24FBC64A" w14:textId="1557B0EA" w:rsidR="00D61F2C" w:rsidRPr="00281541" w:rsidRDefault="00D61F2C" w:rsidP="00D61F2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Debe tener estaciones de servicio distribuidas en el Gran Santo Domingo</w:t>
      </w:r>
      <w:r w:rsidR="007F0DBC">
        <w:rPr>
          <w:rFonts w:asciiTheme="majorHAnsi" w:hAnsiTheme="majorHAnsi" w:cs="Arial"/>
        </w:rPr>
        <w:t xml:space="preserve"> y a nivel nacional</w:t>
      </w:r>
      <w:r w:rsidRPr="00281541">
        <w:rPr>
          <w:rFonts w:asciiTheme="majorHAnsi" w:hAnsiTheme="majorHAnsi" w:cs="Arial"/>
        </w:rPr>
        <w:t>.</w:t>
      </w:r>
    </w:p>
    <w:p w14:paraId="69F2D368" w14:textId="77777777" w:rsidR="00D61F2C" w:rsidRPr="00281541" w:rsidRDefault="00D61F2C" w:rsidP="00D61F2C">
      <w:pPr>
        <w:pStyle w:val="Prrafodelista"/>
        <w:jc w:val="both"/>
        <w:rPr>
          <w:rFonts w:asciiTheme="majorHAnsi" w:hAnsiTheme="majorHAnsi" w:cs="Arial"/>
        </w:rPr>
      </w:pPr>
    </w:p>
    <w:p w14:paraId="11728BA4" w14:textId="69EE3B85" w:rsidR="00D61F2C" w:rsidRPr="00281541" w:rsidRDefault="00D61F2C" w:rsidP="00D61F2C">
      <w:pPr>
        <w:jc w:val="both"/>
        <w:rPr>
          <w:rFonts w:asciiTheme="majorHAnsi" w:hAnsiTheme="majorHAnsi" w:cs="Arial"/>
          <w:b/>
        </w:rPr>
      </w:pPr>
      <w:r w:rsidRPr="00281541">
        <w:rPr>
          <w:rFonts w:asciiTheme="majorHAnsi" w:hAnsiTheme="majorHAnsi" w:cs="Arial"/>
          <w:b/>
        </w:rPr>
        <w:t xml:space="preserve">Obligaciones mínimas del adjudicatario: </w:t>
      </w:r>
    </w:p>
    <w:p w14:paraId="7263CE98" w14:textId="77777777" w:rsidR="00D61F2C" w:rsidRPr="00281541" w:rsidRDefault="00D61F2C" w:rsidP="00D61F2C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Designar un representante que será el punto de contacto para todas las acciones derivadas de la contratación.</w:t>
      </w:r>
    </w:p>
    <w:p w14:paraId="79F98A03" w14:textId="77777777" w:rsidR="00D61F2C" w:rsidRPr="00281541" w:rsidRDefault="00D61F2C" w:rsidP="00D61F2C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Contar con una línea de servicios para contacto con la institución.</w:t>
      </w:r>
    </w:p>
    <w:p w14:paraId="75308B66" w14:textId="427FC23A" w:rsidR="00D61F2C" w:rsidRPr="00281541" w:rsidRDefault="00D61F2C" w:rsidP="00D61F2C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El adjudicatario es responsable de mantener la calidad del producto de acuerdo con las condiciones mínimas establecidas.</w:t>
      </w:r>
    </w:p>
    <w:p w14:paraId="6260C110" w14:textId="676171E5" w:rsidR="00D61F2C" w:rsidRPr="00281541" w:rsidRDefault="00D61F2C" w:rsidP="00D61F2C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CECANOT podrá realizar inspecciones aleatorias en las instalaciones del adjudicatario.</w:t>
      </w:r>
    </w:p>
    <w:p w14:paraId="34DB6A24" w14:textId="77777777" w:rsidR="00D61F2C" w:rsidRPr="00281541" w:rsidRDefault="00D61F2C" w:rsidP="00D61F2C">
      <w:pPr>
        <w:pStyle w:val="Prrafodelista"/>
        <w:numPr>
          <w:ilvl w:val="0"/>
          <w:numId w:val="17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El precio unitario de venta será el autorizado por el Ministerio de Industria y Comercio, correspondiente al período en que la institución reciba el combustible.</w:t>
      </w:r>
    </w:p>
    <w:p w14:paraId="6083AD0F" w14:textId="77777777" w:rsidR="00D61F2C" w:rsidRPr="00281541" w:rsidRDefault="00D61F2C" w:rsidP="00D61F2C">
      <w:pPr>
        <w:jc w:val="both"/>
        <w:rPr>
          <w:rFonts w:asciiTheme="majorHAnsi" w:hAnsiTheme="majorHAnsi" w:cs="Arial"/>
        </w:rPr>
      </w:pPr>
    </w:p>
    <w:p w14:paraId="4225E75C" w14:textId="3A4B01FD" w:rsidR="00D61F2C" w:rsidRPr="00281541" w:rsidRDefault="00D61F2C" w:rsidP="00D61F2C">
      <w:p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  <w:b/>
        </w:rPr>
        <w:t>El oferente debe incluir en su oferta lo siguiente</w:t>
      </w:r>
      <w:r w:rsidRPr="00281541">
        <w:rPr>
          <w:rFonts w:asciiTheme="majorHAnsi" w:hAnsiTheme="majorHAnsi" w:cs="Arial"/>
        </w:rPr>
        <w:t>:</w:t>
      </w:r>
    </w:p>
    <w:p w14:paraId="43299275" w14:textId="77777777" w:rsidR="00D61F2C" w:rsidRPr="00281541" w:rsidRDefault="00D61F2C" w:rsidP="00D61F2C">
      <w:pPr>
        <w:pStyle w:val="Prrafodelista"/>
        <w:numPr>
          <w:ilvl w:val="0"/>
          <w:numId w:val="18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Certificación de licencia del Ministerio de Industria Comercio (MICM) para la comercialización y expendio de combustibles. (vigente)</w:t>
      </w:r>
    </w:p>
    <w:p w14:paraId="2CE46AC5" w14:textId="48F23FD6" w:rsidR="00D61F2C" w:rsidRPr="00281541" w:rsidRDefault="00D61F2C" w:rsidP="00D61F2C">
      <w:pPr>
        <w:pStyle w:val="Prrafodelista"/>
        <w:numPr>
          <w:ilvl w:val="0"/>
          <w:numId w:val="18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Listado de las estaciones de expendio de combustibles indicando: nombre de la estación, dirección exacta, teléfono, nombre completo de la persona responsable de la estación y correo electrónico. (ubicadas en el Gran Santo Domingo)</w:t>
      </w:r>
    </w:p>
    <w:p w14:paraId="51E0E05B" w14:textId="77777777" w:rsidR="00D61F2C" w:rsidRPr="00281541" w:rsidRDefault="00D61F2C" w:rsidP="00D61F2C">
      <w:pPr>
        <w:pStyle w:val="Prrafodelista"/>
        <w:numPr>
          <w:ilvl w:val="0"/>
          <w:numId w:val="18"/>
        </w:numPr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Beneficios que pueden ofrecer por la contratación de sus servicios. (descuentos)</w:t>
      </w:r>
    </w:p>
    <w:p w14:paraId="0F583441" w14:textId="77777777" w:rsidR="00D06E10" w:rsidRPr="00281541" w:rsidRDefault="00D06E10" w:rsidP="004F4199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val="es-ES" w:eastAsia="es-ES"/>
        </w:rPr>
      </w:pPr>
    </w:p>
    <w:p w14:paraId="5E5F7C52" w14:textId="1E65AA1E" w:rsidR="003A2D43" w:rsidRPr="00281541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Presentación de la Propuesta</w:t>
      </w:r>
    </w:p>
    <w:p w14:paraId="286D3042" w14:textId="23AA8DE4" w:rsidR="004F4199" w:rsidRPr="00281541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</w:t>
      </w:r>
      <w:r w:rsidR="00FA628C" w:rsidRPr="00281541">
        <w:rPr>
          <w:rFonts w:asciiTheme="majorHAnsi" w:hAnsiTheme="majorHAnsi" w:cstheme="minorHAnsi"/>
          <w:bCs/>
          <w:sz w:val="24"/>
          <w:szCs w:val="24"/>
          <w:lang w:val="es-ES"/>
        </w:rPr>
        <w:t>e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stas hasta el momento de su apertura. Los sobres deberán contar con las siguientes inscripciones y ser depositados en la dirección que se indica más adelante.  </w:t>
      </w:r>
    </w:p>
    <w:p w14:paraId="61121DE5" w14:textId="7E858AB1" w:rsidR="00376B0D" w:rsidRPr="00281541" w:rsidRDefault="00376B0D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642692EC" w14:textId="09EBE44D" w:rsidR="00281541" w:rsidRDefault="00281541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39A2223C" w14:textId="77777777" w:rsidR="00F206EE" w:rsidRPr="00281541" w:rsidRDefault="00F206EE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396272" w14:textId="77777777" w:rsidR="003A2D43" w:rsidRPr="00281541" w:rsidRDefault="003A2D43" w:rsidP="003A2D43">
      <w:pPr>
        <w:spacing w:after="0" w:line="240" w:lineRule="auto"/>
        <w:ind w:left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NOMBRE DE LA ENTIDAD CONTRATANTE: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16827EFE" w14:textId="77777777" w:rsidR="003A2D43" w:rsidRPr="00281541" w:rsidRDefault="003A2D43" w:rsidP="003A2D43">
      <w:pPr>
        <w:spacing w:after="0" w:line="240" w:lineRule="auto"/>
        <w:ind w:left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DIRECCIÓN: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274E8601" w14:textId="77777777" w:rsidR="003A2D43" w:rsidRPr="00281541" w:rsidRDefault="003A2D43" w:rsidP="003A2D43">
      <w:pPr>
        <w:spacing w:after="0" w:line="240" w:lineRule="auto"/>
        <w:ind w:firstLine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PRESENTACIÓN: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0A77A2E4" w14:textId="04483274" w:rsidR="003A2D43" w:rsidRPr="00281541" w:rsidRDefault="003A2D43" w:rsidP="003A2D43">
      <w:pPr>
        <w:spacing w:after="0" w:line="240" w:lineRule="auto"/>
        <w:ind w:firstLine="720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REFERENCIA: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CECANOT-DAF-CM-202</w:t>
      </w:r>
      <w:r w:rsidR="00C43DD9" w:rsidRPr="00281541">
        <w:rPr>
          <w:rFonts w:asciiTheme="majorHAnsi" w:hAnsiTheme="majorHAnsi" w:cstheme="minorHAnsi"/>
          <w:bCs/>
          <w:sz w:val="24"/>
          <w:szCs w:val="24"/>
          <w:lang w:val="es-ES"/>
        </w:rPr>
        <w:t>1</w:t>
      </w:r>
      <w:r w:rsidRPr="000C3B01">
        <w:rPr>
          <w:rFonts w:asciiTheme="majorHAnsi" w:hAnsiTheme="majorHAnsi" w:cstheme="minorHAnsi"/>
          <w:bCs/>
          <w:color w:val="000000" w:themeColor="text1"/>
          <w:sz w:val="24"/>
          <w:szCs w:val="24"/>
          <w:lang w:val="es-ES"/>
        </w:rPr>
        <w:t>-</w:t>
      </w:r>
      <w:r w:rsidR="000C3B01" w:rsidRPr="000C3B01">
        <w:rPr>
          <w:rFonts w:asciiTheme="majorHAnsi" w:hAnsiTheme="majorHAnsi" w:cstheme="minorHAnsi"/>
          <w:bCs/>
          <w:color w:val="000000" w:themeColor="text1"/>
          <w:sz w:val="24"/>
          <w:szCs w:val="24"/>
          <w:lang w:val="es-ES"/>
        </w:rPr>
        <w:t>0165</w:t>
      </w:r>
    </w:p>
    <w:p w14:paraId="0F259CBD" w14:textId="107EF831" w:rsidR="00AB23DA" w:rsidRPr="00281541" w:rsidRDefault="003A2D43" w:rsidP="00376B0D">
      <w:pPr>
        <w:spacing w:after="0" w:line="240" w:lineRule="auto"/>
        <w:ind w:firstLine="720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NOMBRE DEL OFERENTE:</w:t>
      </w:r>
    </w:p>
    <w:p w14:paraId="008147E5" w14:textId="77777777" w:rsidR="00AB23DA" w:rsidRPr="00281541" w:rsidRDefault="00AB23DA" w:rsidP="00AB23DA">
      <w:pPr>
        <w:pStyle w:val="Prrafodelista"/>
        <w:spacing w:after="200"/>
        <w:ind w:left="1069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56CBA7AB" w14:textId="1CB72F2D" w:rsidR="003A2D43" w:rsidRPr="00281541" w:rsidRDefault="00B06FE6" w:rsidP="00D61F2C">
      <w:pPr>
        <w:pStyle w:val="Prrafodelista"/>
        <w:numPr>
          <w:ilvl w:val="0"/>
          <w:numId w:val="19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Presentación de la Oferta</w:t>
      </w:r>
    </w:p>
    <w:p w14:paraId="5DEC300C" w14:textId="350926D7" w:rsidR="003A2D43" w:rsidRPr="00281541" w:rsidRDefault="003A2D43" w:rsidP="007C4806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</w:t>
      </w:r>
      <w:r w:rsidR="00B06FE6" w:rsidRPr="00281541">
        <w:rPr>
          <w:rFonts w:asciiTheme="majorHAnsi" w:hAnsiTheme="majorHAnsi" w:cstheme="minorHAnsi"/>
          <w:bCs/>
          <w:sz w:val="24"/>
          <w:szCs w:val="24"/>
          <w:lang w:val="es-ES"/>
        </w:rPr>
        <w:t>ofertas</w:t>
      </w: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presentadas por los oferentes deben contener los siguientes datos: </w:t>
      </w:r>
    </w:p>
    <w:p w14:paraId="212EA510" w14:textId="68A9CCF2" w:rsidR="00281541" w:rsidRPr="00281541" w:rsidRDefault="00281541" w:rsidP="007C4806">
      <w:pPr>
        <w:spacing w:after="20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Documentación para presentar:</w:t>
      </w:r>
    </w:p>
    <w:p w14:paraId="7FCD9B35" w14:textId="77777777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Formulario de Presentación de Oferta</w:t>
      </w:r>
      <w:r w:rsidRPr="00281541">
        <w:rPr>
          <w:rFonts w:asciiTheme="majorHAnsi" w:hAnsiTheme="majorHAnsi" w:cs="Arial"/>
          <w:color w:val="800000"/>
        </w:rPr>
        <w:t xml:space="preserve"> </w:t>
      </w:r>
      <w:r w:rsidRPr="00281541">
        <w:rPr>
          <w:rFonts w:asciiTheme="majorHAnsi" w:hAnsiTheme="majorHAnsi" w:cs="Arial"/>
          <w:b/>
          <w:color w:val="800000"/>
        </w:rPr>
        <w:t>(SNCC.F.034)</w:t>
      </w:r>
    </w:p>
    <w:p w14:paraId="0DC82A22" w14:textId="77777777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Formulario de Información sobre el Oferente </w:t>
      </w:r>
      <w:r w:rsidRPr="00281541">
        <w:rPr>
          <w:rFonts w:asciiTheme="majorHAnsi" w:hAnsiTheme="majorHAnsi" w:cs="Arial"/>
          <w:b/>
          <w:color w:val="800000"/>
        </w:rPr>
        <w:t>(SNCC.F.042)</w:t>
      </w:r>
    </w:p>
    <w:p w14:paraId="530500CA" w14:textId="77777777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Registro de Proveedores del Estado (RPE) con documentos legales-administrativos actualizados, emitido por la Dirección General de Contrataciones Públicas.</w:t>
      </w:r>
    </w:p>
    <w:p w14:paraId="4151F35A" w14:textId="6C5C7BD0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Certificado MiPymes (Si aplica)</w:t>
      </w:r>
    </w:p>
    <w:p w14:paraId="7FF19D75" w14:textId="77777777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Copia del Certificado de Registro Mercantil vigente. (Certificado Cámara de Comercio)</w:t>
      </w:r>
    </w:p>
    <w:p w14:paraId="773A70D8" w14:textId="77777777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Certificación de la Dirección General de Impuestos Internos (DGII) en el cual se manifieste que el oferente está al día con sus obligaciones fiscales.</w:t>
      </w:r>
    </w:p>
    <w:p w14:paraId="3B39B94A" w14:textId="07E037C5" w:rsidR="00281541" w:rsidRPr="00281541" w:rsidRDefault="00281541" w:rsidP="00281541">
      <w:pPr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Certificación de pago de la Tesorería de la Seguridad Social (TSS), la cual manifieste que está al día con sus obligaciones de la Seguridad Social.</w:t>
      </w:r>
    </w:p>
    <w:p w14:paraId="3FC82C8D" w14:textId="77777777" w:rsidR="00281541" w:rsidRPr="00281541" w:rsidRDefault="00281541" w:rsidP="00281541">
      <w:pPr>
        <w:spacing w:after="0" w:line="240" w:lineRule="auto"/>
        <w:ind w:left="1068"/>
        <w:jc w:val="both"/>
        <w:rPr>
          <w:rFonts w:asciiTheme="majorHAnsi" w:hAnsiTheme="majorHAnsi" w:cs="Arial"/>
        </w:rPr>
      </w:pPr>
    </w:p>
    <w:p w14:paraId="3B23E591" w14:textId="14DDEF36" w:rsidR="00B06FE6" w:rsidRPr="00281541" w:rsidRDefault="00B06FE6" w:rsidP="007C4806">
      <w:pPr>
        <w:spacing w:after="20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Oferta Técnica:</w:t>
      </w:r>
    </w:p>
    <w:p w14:paraId="0C910DD6" w14:textId="77777777" w:rsidR="00B06FE6" w:rsidRPr="00281541" w:rsidRDefault="00B06FE6" w:rsidP="00B06FE6">
      <w:pPr>
        <w:pStyle w:val="Prrafodelista"/>
        <w:numPr>
          <w:ilvl w:val="0"/>
          <w:numId w:val="20"/>
        </w:numPr>
        <w:ind w:left="720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Oferta Técnica (conforme a las especificaciones técnicas suministradas)</w:t>
      </w:r>
    </w:p>
    <w:p w14:paraId="33CC7FA5" w14:textId="77777777" w:rsidR="00B06FE6" w:rsidRPr="00281541" w:rsidRDefault="00B06FE6" w:rsidP="00B06FE6">
      <w:pPr>
        <w:pStyle w:val="Prrafodelista"/>
        <w:numPr>
          <w:ilvl w:val="0"/>
          <w:numId w:val="20"/>
        </w:numPr>
        <w:ind w:left="720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>Certificación de licencia del Ministerio de Industria Comercio (MICM) para la comercialización y expendio de combustibles. (vigente)</w:t>
      </w:r>
    </w:p>
    <w:p w14:paraId="4749998F" w14:textId="77777777" w:rsidR="00B06FE6" w:rsidRPr="007F0DBC" w:rsidRDefault="00B06FE6" w:rsidP="00B06FE6">
      <w:pPr>
        <w:pStyle w:val="Prrafodelista"/>
        <w:numPr>
          <w:ilvl w:val="0"/>
          <w:numId w:val="20"/>
        </w:numPr>
        <w:ind w:left="720"/>
        <w:jc w:val="both"/>
        <w:rPr>
          <w:rFonts w:asciiTheme="majorHAnsi" w:hAnsiTheme="majorHAnsi" w:cs="Arial"/>
          <w:b/>
          <w:bCs/>
        </w:rPr>
      </w:pPr>
      <w:r w:rsidRPr="007F0DBC">
        <w:rPr>
          <w:rFonts w:asciiTheme="majorHAnsi" w:hAnsiTheme="majorHAnsi" w:cs="Arial"/>
          <w:b/>
          <w:bCs/>
        </w:rPr>
        <w:t>Listado de las estaciones de expendio de combustibles indicando: nombre de la estación, dirección exacta, teléfono, nombre completo de la persona responsable de la estación y correo electrónico.</w:t>
      </w:r>
    </w:p>
    <w:p w14:paraId="5406DCB0" w14:textId="5A6D225E" w:rsidR="00B06FE6" w:rsidRPr="00281541" w:rsidRDefault="00B06FE6" w:rsidP="00281541">
      <w:pPr>
        <w:pStyle w:val="Prrafodelista"/>
        <w:numPr>
          <w:ilvl w:val="0"/>
          <w:numId w:val="20"/>
        </w:numPr>
        <w:ind w:left="720"/>
        <w:jc w:val="both"/>
        <w:rPr>
          <w:rFonts w:asciiTheme="majorHAnsi" w:hAnsiTheme="majorHAnsi" w:cs="Arial"/>
        </w:rPr>
      </w:pPr>
      <w:r w:rsidRPr="00281541">
        <w:rPr>
          <w:rFonts w:asciiTheme="majorHAnsi" w:hAnsiTheme="majorHAnsi" w:cs="Arial"/>
        </w:rPr>
        <w:t xml:space="preserve">Carta confirmando que el producto y la estación cumple con las normas sectoriales de NORDOM. </w:t>
      </w:r>
    </w:p>
    <w:p w14:paraId="27CC4678" w14:textId="77777777" w:rsidR="00281541" w:rsidRPr="00281541" w:rsidRDefault="00281541" w:rsidP="00281541">
      <w:pPr>
        <w:pStyle w:val="Prrafodelista"/>
        <w:jc w:val="both"/>
        <w:rPr>
          <w:rFonts w:asciiTheme="majorHAnsi" w:hAnsiTheme="majorHAnsi" w:cs="Arial"/>
        </w:rPr>
      </w:pPr>
    </w:p>
    <w:p w14:paraId="659E7F93" w14:textId="08CDA385" w:rsidR="00B06FE6" w:rsidRPr="00281541" w:rsidRDefault="00B06FE6" w:rsidP="00B06FE6">
      <w:pPr>
        <w:spacing w:after="20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281541">
        <w:rPr>
          <w:rFonts w:asciiTheme="majorHAnsi" w:hAnsiTheme="majorHAnsi" w:cstheme="minorHAnsi"/>
          <w:b/>
          <w:sz w:val="24"/>
          <w:szCs w:val="24"/>
        </w:rPr>
        <w:t>Oferta Económica:</w:t>
      </w:r>
    </w:p>
    <w:p w14:paraId="48FC2FE6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RNC </w:t>
      </w:r>
    </w:p>
    <w:p w14:paraId="0DC667D8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Proveedor del Estado (RPE) </w:t>
      </w:r>
    </w:p>
    <w:p w14:paraId="0F8A826B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ITBIS transparentado </w:t>
      </w:r>
    </w:p>
    <w:p w14:paraId="4FB9F825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>Descripción correcta del bien y/o servicio</w:t>
      </w:r>
    </w:p>
    <w:p w14:paraId="19B79B22" w14:textId="552842BE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Condición de pago </w:t>
      </w:r>
    </w:p>
    <w:p w14:paraId="04956345" w14:textId="77777777" w:rsidR="00281541" w:rsidRPr="00281541" w:rsidRDefault="00281541" w:rsidP="00281541">
      <w:pPr>
        <w:spacing w:after="200" w:line="240" w:lineRule="auto"/>
        <w:ind w:left="72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33C71835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>Tiempo de Entrega</w:t>
      </w:r>
    </w:p>
    <w:p w14:paraId="77F86D36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Garantía de calidad de los bienes cotizados. </w:t>
      </w:r>
    </w:p>
    <w:p w14:paraId="1082A728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Monto con dos (2) decimales </w:t>
      </w:r>
      <w:proofErr w:type="spellStart"/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>xx.xx</w:t>
      </w:r>
      <w:proofErr w:type="spellEnd"/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</w:p>
    <w:p w14:paraId="7F536ACA" w14:textId="77777777" w:rsidR="003A2D43" w:rsidRPr="00281541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Cs/>
          <w:sz w:val="24"/>
          <w:szCs w:val="24"/>
          <w:lang w:val="es-ES"/>
        </w:rPr>
        <w:t>Valores expresados en RD</w:t>
      </w:r>
    </w:p>
    <w:p w14:paraId="3A1B27CA" w14:textId="77777777" w:rsidR="007C4806" w:rsidRPr="00281541" w:rsidRDefault="007C4806" w:rsidP="00C43DD9">
      <w:pPr>
        <w:spacing w:after="200" w:line="240" w:lineRule="auto"/>
        <w:contextualSpacing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0B0D297B" w14:textId="00DFEE7F" w:rsidR="003A2D43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 xml:space="preserve">Forma de Pago </w:t>
      </w:r>
    </w:p>
    <w:p w14:paraId="0F36AB03" w14:textId="798B11A1" w:rsidR="003A2D43" w:rsidRPr="00281541" w:rsidRDefault="007C4806" w:rsidP="00D06E10">
      <w:pPr>
        <w:spacing w:after="200" w:line="240" w:lineRule="auto"/>
        <w:ind w:left="720"/>
        <w:rPr>
          <w:rFonts w:asciiTheme="majorHAnsi" w:hAnsiTheme="majorHAnsi" w:cstheme="minorHAnsi"/>
          <w:sz w:val="24"/>
          <w:szCs w:val="24"/>
          <w:lang w:val="es-ES" w:eastAsia="es-ES"/>
        </w:rPr>
      </w:pPr>
      <w:r w:rsidRPr="00281541"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            </w:t>
      </w:r>
      <w:r w:rsidR="003A2D43" w:rsidRPr="00281541">
        <w:rPr>
          <w:rFonts w:asciiTheme="majorHAnsi" w:hAnsiTheme="majorHAnsi" w:cstheme="minorHAnsi"/>
          <w:sz w:val="24"/>
          <w:szCs w:val="24"/>
          <w:lang w:val="es-ES" w:eastAsia="es-ES"/>
        </w:rPr>
        <w:t>Crédito 60 Días</w:t>
      </w:r>
    </w:p>
    <w:p w14:paraId="3F4B3F0C" w14:textId="77777777" w:rsidR="003A2D43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Tiempo de entrega</w:t>
      </w:r>
    </w:p>
    <w:p w14:paraId="4C4D2C9E" w14:textId="4C1AAF26" w:rsidR="007C4806" w:rsidRPr="00281541" w:rsidRDefault="007F0DBC" w:rsidP="00343C72">
      <w:pPr>
        <w:spacing w:after="200" w:line="240" w:lineRule="auto"/>
        <w:ind w:left="1440"/>
        <w:rPr>
          <w:rFonts w:asciiTheme="majorHAnsi" w:hAnsiTheme="majorHAnsi" w:cstheme="minorHAnsi"/>
          <w:sz w:val="24"/>
          <w:szCs w:val="24"/>
          <w:lang w:val="es-ES" w:eastAsia="es-ES"/>
        </w:rPr>
      </w:pPr>
      <w:r>
        <w:rPr>
          <w:rFonts w:asciiTheme="majorHAnsi" w:hAnsiTheme="majorHAnsi" w:cstheme="minorHAnsi"/>
          <w:sz w:val="24"/>
          <w:szCs w:val="24"/>
          <w:lang w:val="es-ES" w:eastAsia="es-ES"/>
        </w:rPr>
        <w:t xml:space="preserve">A requerimiento </w:t>
      </w:r>
    </w:p>
    <w:p w14:paraId="64929DCA" w14:textId="77777777" w:rsidR="003A2D43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Procedimiento de Selección.</w:t>
      </w:r>
    </w:p>
    <w:p w14:paraId="3D6BC372" w14:textId="5D4231F7" w:rsidR="00AB23DA" w:rsidRPr="00281541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 xml:space="preserve">  La presente contratación se realizará por Compra Menor en etapa única</w:t>
      </w:r>
    </w:p>
    <w:p w14:paraId="74EC5024" w14:textId="273A50E4" w:rsidR="008A1E75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>Capacidad para ofertar.</w:t>
      </w:r>
    </w:p>
    <w:p w14:paraId="033E1066" w14:textId="77777777" w:rsidR="008A1E75" w:rsidRPr="00281541" w:rsidRDefault="008A1E75" w:rsidP="008A1E75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44C0DCFE" w14:textId="77777777" w:rsidR="003A2D43" w:rsidRPr="00281541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eastAsia="SimSun" w:hAnsiTheme="majorHAnsi" w:cstheme="minorHAnsi"/>
          <w:sz w:val="24"/>
          <w:szCs w:val="24"/>
        </w:rPr>
      </w:pPr>
      <w:r w:rsidRPr="00281541">
        <w:rPr>
          <w:rFonts w:asciiTheme="majorHAnsi" w:eastAsia="SimSun" w:hAnsiTheme="majorHAnsi" w:cstheme="minorHAnsi"/>
          <w:sz w:val="24"/>
          <w:szCs w:val="24"/>
        </w:rPr>
        <w:t xml:space="preserve">Toda persona natural o jurídica, nacional o extranjera que haya adquirido las </w:t>
      </w:r>
      <w:r w:rsidRPr="00281541">
        <w:rPr>
          <w:rFonts w:asciiTheme="majorHAnsi" w:eastAsia="SimSun" w:hAnsiTheme="majorHAnsi" w:cstheme="minorHAnsi"/>
          <w:b/>
          <w:sz w:val="24"/>
          <w:szCs w:val="24"/>
        </w:rPr>
        <w:t>especificaciones técnicas</w:t>
      </w:r>
      <w:r w:rsidRPr="00281541">
        <w:rPr>
          <w:rFonts w:asciiTheme="majorHAnsi" w:eastAsia="SimSun" w:hAnsiTheme="majorHAnsi" w:cstheme="minorHAnsi"/>
          <w:sz w:val="24"/>
          <w:szCs w:val="24"/>
        </w:rPr>
        <w:t xml:space="preserve">, tendrá derecho a participar en la presente </w:t>
      </w:r>
      <w:r w:rsidRPr="00281541">
        <w:rPr>
          <w:rFonts w:asciiTheme="majorHAnsi" w:hAnsiTheme="majorHAnsi" w:cstheme="minorHAnsi"/>
          <w:iCs/>
          <w:sz w:val="24"/>
          <w:szCs w:val="24"/>
        </w:rPr>
        <w:t>COMPRA MENOR</w:t>
      </w:r>
      <w:r w:rsidRPr="00281541">
        <w:rPr>
          <w:rFonts w:asciiTheme="majorHAnsi" w:eastAsia="SimSun" w:hAnsiTheme="majorHAnsi" w:cstheme="minorHAnsi"/>
          <w:sz w:val="24"/>
          <w:szCs w:val="24"/>
        </w:rPr>
        <w:t>, siempre y cuando reúna las condiciones exigidas y no se encuentre afectada por el régimen de prohibiciones establecido en la ley 340-06.</w:t>
      </w:r>
    </w:p>
    <w:p w14:paraId="35EAC435" w14:textId="77777777" w:rsidR="003A2D43" w:rsidRPr="00281541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 xml:space="preserve">Para personas jurídicas </w:t>
      </w:r>
    </w:p>
    <w:p w14:paraId="0A75E71F" w14:textId="77777777" w:rsidR="003A2D43" w:rsidRPr="00281541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>Registro de Proveedores del Estado Actualizado</w:t>
      </w:r>
    </w:p>
    <w:p w14:paraId="73B458DE" w14:textId="6B0DD15F" w:rsidR="00D61F2C" w:rsidRPr="007F0DBC" w:rsidRDefault="003A2D43" w:rsidP="007F0D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</w:pPr>
      <w:r w:rsidRPr="00281541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281541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414347F6" w14:textId="5DA5F032" w:rsidR="006B6605" w:rsidRPr="00281541" w:rsidRDefault="003A2D43" w:rsidP="00AB23DA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s-ES" w:eastAsia="en-GB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281541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20D79FD" w14:textId="77777777" w:rsidR="00C43DD9" w:rsidRPr="00281541" w:rsidRDefault="00C43DD9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A3F0337" w14:textId="77777777" w:rsidR="003A2D43" w:rsidRPr="00281541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b/>
          <w:sz w:val="24"/>
          <w:szCs w:val="24"/>
          <w:lang w:val="es-ES"/>
        </w:rPr>
        <w:t>Para personas físicas</w:t>
      </w:r>
    </w:p>
    <w:p w14:paraId="2E6B1C3D" w14:textId="77777777" w:rsidR="003A2D43" w:rsidRPr="00281541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>Estar inscritos en el Registro de Proveedores del Estado</w:t>
      </w:r>
    </w:p>
    <w:p w14:paraId="5E272008" w14:textId="77777777" w:rsidR="003A2D43" w:rsidRPr="00281541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color w:val="000000"/>
          <w:sz w:val="24"/>
          <w:szCs w:val="24"/>
          <w:lang w:val="es-ES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>Copia de la Cédula de Identidad y Electoral del solici</w:t>
      </w:r>
      <w:r w:rsidRPr="00281541">
        <w:rPr>
          <w:rFonts w:asciiTheme="majorHAnsi" w:hAnsiTheme="majorHAnsi" w:cstheme="minorHAnsi"/>
          <w:sz w:val="24"/>
          <w:szCs w:val="24"/>
          <w:lang w:val="es-ES"/>
        </w:rPr>
        <w:softHyphen/>
        <w:t xml:space="preserve">tante. </w:t>
      </w:r>
    </w:p>
    <w:p w14:paraId="1E04C4E0" w14:textId="77777777" w:rsidR="003A2D43" w:rsidRPr="00281541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  <w:r w:rsidRPr="00281541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281541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801836B" w14:textId="77777777" w:rsidR="003A2D43" w:rsidRPr="00281541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2D1B62A2" w14:textId="77777777" w:rsidR="003A2D43" w:rsidRPr="00281541" w:rsidRDefault="003A2D43" w:rsidP="003A2D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0EA3B4A0" w14:textId="0542A0B8" w:rsidR="003A2D43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 xml:space="preserve">Consultas, circulares y enmiendas </w:t>
      </w:r>
    </w:p>
    <w:p w14:paraId="681C6066" w14:textId="77777777" w:rsidR="007C4806" w:rsidRPr="00281541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2AD114A2" w14:textId="77777777" w:rsidR="007F0DBC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81541">
        <w:rPr>
          <w:rFonts w:asciiTheme="majorHAnsi" w:hAnsiTheme="majorHAnsi"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281541">
        <w:rPr>
          <w:rFonts w:asciiTheme="majorHAnsi" w:hAnsiTheme="majorHAnsi" w:cstheme="minorHAnsi"/>
          <w:b/>
          <w:sz w:val="24"/>
          <w:szCs w:val="24"/>
        </w:rPr>
        <w:t>CINCUENTA POR CIENTO (50%)</w:t>
      </w:r>
      <w:r w:rsidRPr="00281541">
        <w:rPr>
          <w:rFonts w:asciiTheme="majorHAnsi" w:hAnsiTheme="majorHAnsi"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</w:t>
      </w:r>
    </w:p>
    <w:p w14:paraId="5BBEC09B" w14:textId="77777777" w:rsidR="007F0DBC" w:rsidRDefault="007F0DBC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EEDBCB4" w14:textId="3FEFEF59" w:rsidR="00281541" w:rsidRPr="00281541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81541">
        <w:rPr>
          <w:rFonts w:asciiTheme="majorHAnsi" w:hAnsiTheme="majorHAnsi" w:cstheme="minorHAnsi"/>
          <w:sz w:val="24"/>
          <w:szCs w:val="24"/>
        </w:rPr>
        <w:t>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281541">
        <w:rPr>
          <w:rFonts w:asciiTheme="majorHAnsi" w:hAnsiTheme="majorHAnsi" w:cstheme="minorHAnsi"/>
          <w:sz w:val="24"/>
          <w:szCs w:val="24"/>
        </w:rPr>
        <w:t>me a la naturaleza de esta.</w:t>
      </w:r>
    </w:p>
    <w:p w14:paraId="7801F79F" w14:textId="174B43B2" w:rsidR="00281541" w:rsidRPr="004D090C" w:rsidRDefault="003A2D43" w:rsidP="004D090C">
      <w:pPr>
        <w:spacing w:after="200" w:line="276" w:lineRule="auto"/>
        <w:contextualSpacing/>
        <w:rPr>
          <w:rFonts w:asciiTheme="majorHAnsi" w:hAnsiTheme="majorHAnsi" w:cstheme="minorHAnsi"/>
          <w:b/>
          <w:bCs/>
          <w:sz w:val="16"/>
          <w:szCs w:val="16"/>
        </w:rPr>
      </w:pPr>
      <w:r w:rsidRPr="00281541">
        <w:rPr>
          <w:rFonts w:asciiTheme="majorHAnsi" w:hAnsiTheme="majorHAnsi"/>
          <w:b/>
          <w:bCs/>
        </w:rPr>
        <w:t>Dirección</w:t>
      </w:r>
      <w:bookmarkEnd w:id="0"/>
      <w:bookmarkEnd w:id="1"/>
      <w:bookmarkEnd w:id="2"/>
      <w:r w:rsidRPr="00281541">
        <w:rPr>
          <w:rFonts w:asciiTheme="majorHAnsi" w:hAnsiTheme="majorHAnsi"/>
          <w:b/>
          <w:bCs/>
        </w:rPr>
        <w:t xml:space="preserve"> de correo electrónico: </w:t>
      </w:r>
      <w:hyperlink r:id="rId9" w:history="1">
        <w:r w:rsidR="00281541" w:rsidRPr="000C3B01">
          <w:rPr>
            <w:rStyle w:val="Hipervnculo"/>
            <w:rFonts w:asciiTheme="majorHAnsi" w:hAnsiTheme="majorHAnsi" w:cstheme="minorHAnsi"/>
            <w:b/>
            <w:bCs/>
          </w:rPr>
          <w:t>katherine.antigua@cecanot.com.do</w:t>
        </w:r>
      </w:hyperlink>
      <w:r w:rsidR="004D090C" w:rsidRPr="000C3B01">
        <w:rPr>
          <w:rFonts w:asciiTheme="majorHAnsi" w:hAnsiTheme="majorHAnsi" w:cstheme="minorHAnsi"/>
          <w:b/>
          <w:bCs/>
        </w:rPr>
        <w:t xml:space="preserve"> </w:t>
      </w:r>
    </w:p>
    <w:p w14:paraId="0FC98FB0" w14:textId="77777777" w:rsidR="004D090C" w:rsidRPr="00281541" w:rsidRDefault="004D090C" w:rsidP="007C4806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</w:p>
    <w:p w14:paraId="5AB0B89D" w14:textId="7202ECB0" w:rsidR="00B06FE6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81541">
        <w:rPr>
          <w:rFonts w:asciiTheme="majorHAnsi" w:hAnsiTheme="majorHAnsi"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281541">
        <w:rPr>
          <w:rFonts w:asciiTheme="majorHAnsi" w:hAnsiTheme="majorHAnsi" w:cstheme="minorHAnsi"/>
          <w:b/>
          <w:sz w:val="24"/>
          <w:szCs w:val="24"/>
        </w:rPr>
        <w:t xml:space="preserve"> SETENTA Y CINCO POR CIENTO (75%)</w:t>
      </w:r>
      <w:r w:rsidRPr="00281541">
        <w:rPr>
          <w:rFonts w:asciiTheme="majorHAnsi" w:hAnsiTheme="majorHAnsi"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753F0D00" w14:textId="77777777" w:rsidR="00F206EE" w:rsidRPr="00281541" w:rsidRDefault="00F206EE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9F2BEAB" w14:textId="4BB9866A" w:rsidR="003A2D43" w:rsidRPr="00281541" w:rsidRDefault="003A2D43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eastAsia="Times New Roman" w:hAnsiTheme="majorHAnsi" w:cs="Arial"/>
          <w:b/>
          <w:bCs/>
          <w:spacing w:val="-20"/>
          <w:w w:val="90"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281541">
        <w:rPr>
          <w:rFonts w:asciiTheme="majorHAnsi" w:eastAsia="Times New Roman" w:hAnsiTheme="majorHAnsi" w:cs="Arial"/>
          <w:bCs/>
          <w:spacing w:val="-20"/>
          <w:w w:val="90"/>
          <w:lang w:val="es-ES" w:eastAsia="es-ES"/>
        </w:rPr>
        <w:t xml:space="preserve"> </w:t>
      </w:r>
      <w:bookmarkEnd w:id="3"/>
      <w:bookmarkEnd w:id="4"/>
      <w:bookmarkEnd w:id="5"/>
      <w:r w:rsidRPr="00281541">
        <w:rPr>
          <w:rFonts w:asciiTheme="majorHAnsi" w:hAnsiTheme="majorHAnsi"/>
          <w:b/>
          <w:bCs/>
          <w:sz w:val="24"/>
          <w:szCs w:val="24"/>
        </w:rPr>
        <w:t>Cronograma de actividades</w:t>
      </w:r>
    </w:p>
    <w:p w14:paraId="276662DB" w14:textId="77777777" w:rsidR="00281541" w:rsidRPr="00281541" w:rsidRDefault="00281541" w:rsidP="00281541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eastAsia="Times New Roman" w:hAnsiTheme="majorHAnsi" w:cs="Arial"/>
          <w:b/>
          <w:bCs/>
          <w:spacing w:val="-20"/>
          <w:w w:val="90"/>
          <w:lang w:val="es-ES" w:eastAsia="es-ES"/>
        </w:rPr>
      </w:pPr>
    </w:p>
    <w:p w14:paraId="4D48F686" w14:textId="28A8E70B" w:rsidR="00D61F2C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  <w:r>
        <w:rPr>
          <w:noProof/>
        </w:rPr>
        <w:drawing>
          <wp:inline distT="0" distB="0" distL="0" distR="0" wp14:anchorId="2CD8E106" wp14:editId="4B3AC51E">
            <wp:extent cx="5943600" cy="33413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44DFC" w14:textId="27CAC396" w:rsidR="00F206EE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</w:p>
    <w:p w14:paraId="28BE263D" w14:textId="06882E7A" w:rsidR="00F206EE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</w:p>
    <w:p w14:paraId="6513B2A1" w14:textId="71B87C0F" w:rsidR="00F206EE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</w:p>
    <w:p w14:paraId="4D7C42A9" w14:textId="05DAFF6D" w:rsidR="00F206EE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</w:p>
    <w:p w14:paraId="3D859F09" w14:textId="77777777" w:rsidR="00F206EE" w:rsidRPr="00281541" w:rsidRDefault="00F206EE" w:rsidP="00F206EE">
      <w:pPr>
        <w:spacing w:after="200" w:line="240" w:lineRule="auto"/>
        <w:jc w:val="center"/>
        <w:rPr>
          <w:rFonts w:asciiTheme="majorHAnsi" w:hAnsiTheme="majorHAnsi"/>
          <w:lang w:eastAsia="es-ES"/>
        </w:rPr>
      </w:pPr>
    </w:p>
    <w:p w14:paraId="2100D49F" w14:textId="56A203C9" w:rsidR="003A2D43" w:rsidRPr="00281541" w:rsidRDefault="00DD5CD5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bookmarkStart w:id="6" w:name="_Toc271530532"/>
      <w:bookmarkStart w:id="7" w:name="_Toc410128616"/>
      <w:r w:rsidRPr="0028154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281541">
        <w:rPr>
          <w:rFonts w:asciiTheme="majorHAnsi" w:hAnsiTheme="majorHAnsi"/>
          <w:b/>
          <w:bCs/>
          <w:sz w:val="24"/>
          <w:szCs w:val="24"/>
        </w:rPr>
        <w:t xml:space="preserve">Criterios de </w:t>
      </w:r>
      <w:bookmarkEnd w:id="6"/>
      <w:r w:rsidR="003A2D43" w:rsidRPr="00281541">
        <w:rPr>
          <w:rFonts w:asciiTheme="majorHAnsi" w:hAnsiTheme="majorHAnsi"/>
          <w:b/>
          <w:bCs/>
          <w:sz w:val="24"/>
          <w:szCs w:val="24"/>
        </w:rPr>
        <w:t>Evaluación</w:t>
      </w:r>
      <w:bookmarkEnd w:id="7"/>
    </w:p>
    <w:p w14:paraId="20781CD3" w14:textId="77777777" w:rsidR="008A1E75" w:rsidRPr="00281541" w:rsidRDefault="008A1E75" w:rsidP="008A1E75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37E9AE9B" w14:textId="77777777" w:rsidR="003A2D43" w:rsidRPr="00281541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b/>
          <w:bCs/>
          <w:sz w:val="24"/>
          <w:szCs w:val="24"/>
        </w:rPr>
      </w:pPr>
      <w:r w:rsidRPr="00281541">
        <w:rPr>
          <w:rFonts w:asciiTheme="majorHAnsi" w:eastAsia="Calibri" w:hAnsiTheme="majorHAns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281541">
        <w:rPr>
          <w:rFonts w:asciiTheme="majorHAnsi" w:eastAsia="Calibri" w:hAnsiTheme="majorHAnsi" w:cstheme="minorHAnsi"/>
          <w:b/>
          <w:bCs/>
          <w:sz w:val="24"/>
          <w:szCs w:val="24"/>
        </w:rPr>
        <w:t>“CUMPLE/ NO CUMPLE”:</w:t>
      </w:r>
    </w:p>
    <w:p w14:paraId="1ADC37CB" w14:textId="77777777" w:rsidR="003A2D43" w:rsidRPr="00281541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281541">
        <w:rPr>
          <w:rFonts w:asciiTheme="majorHAnsi" w:eastAsia="Calibri" w:hAnsiTheme="majorHAnsi" w:cstheme="minorHAnsi"/>
          <w:b/>
          <w:bCs/>
          <w:sz w:val="24"/>
          <w:szCs w:val="24"/>
        </w:rPr>
        <w:t>Elegibilidad:</w:t>
      </w:r>
      <w:r w:rsidRPr="00281541">
        <w:rPr>
          <w:rFonts w:asciiTheme="majorHAnsi" w:eastAsia="Calibri" w:hAnsiTheme="majorHAns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0C63CFFC" w14:textId="1DEB36F0" w:rsidR="00376B0D" w:rsidRPr="00281541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281541">
        <w:rPr>
          <w:rFonts w:asciiTheme="majorHAnsi" w:eastAsia="Calibri" w:hAnsiTheme="majorHAnsi" w:cstheme="minorHAnsi"/>
          <w:b/>
          <w:bCs/>
          <w:sz w:val="24"/>
          <w:szCs w:val="24"/>
        </w:rPr>
        <w:t>Capacidad Técnica:</w:t>
      </w:r>
      <w:r w:rsidRPr="00281541">
        <w:rPr>
          <w:rFonts w:asciiTheme="majorHAnsi" w:eastAsia="Calibri" w:hAnsiTheme="majorHAnsi" w:cstheme="minorHAnsi"/>
          <w:sz w:val="24"/>
          <w:szCs w:val="24"/>
        </w:rPr>
        <w:t xml:space="preserve"> Que los Bienes cumplan con las todas características especificadas en las Fichas Técnicas. </w:t>
      </w:r>
      <w:bookmarkStart w:id="8" w:name="_Toc410128624"/>
    </w:p>
    <w:p w14:paraId="05DC797E" w14:textId="77777777" w:rsidR="00281541" w:rsidRPr="00281541" w:rsidRDefault="00281541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4A77401D" w14:textId="1DFD8678" w:rsidR="003A2D43" w:rsidRPr="00281541" w:rsidRDefault="00DD5CD5" w:rsidP="00D61F2C">
      <w:pPr>
        <w:pStyle w:val="Prrafodelista"/>
        <w:keepNext/>
        <w:numPr>
          <w:ilvl w:val="0"/>
          <w:numId w:val="19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28154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281541">
        <w:rPr>
          <w:rFonts w:asciiTheme="majorHAnsi" w:hAnsiTheme="majorHAnsi"/>
          <w:b/>
          <w:bCs/>
          <w:sz w:val="24"/>
          <w:szCs w:val="24"/>
        </w:rPr>
        <w:t>Criterios de Adjudicación</w:t>
      </w:r>
      <w:bookmarkEnd w:id="8"/>
    </w:p>
    <w:p w14:paraId="5BE37E5C" w14:textId="77777777" w:rsidR="003A2D43" w:rsidRPr="00281541" w:rsidRDefault="003A2D43" w:rsidP="003A2D43">
      <w:pPr>
        <w:spacing w:after="200" w:line="240" w:lineRule="auto"/>
        <w:rPr>
          <w:rFonts w:asciiTheme="majorHAnsi" w:eastAsia="Calibri" w:hAnsiTheme="majorHAnsi" w:cstheme="minorHAnsi"/>
          <w:sz w:val="24"/>
          <w:szCs w:val="24"/>
        </w:rPr>
      </w:pPr>
    </w:p>
    <w:p w14:paraId="417389DB" w14:textId="4DAFFCA8" w:rsidR="003A2D43" w:rsidRPr="00281541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281541">
        <w:rPr>
          <w:rFonts w:asciiTheme="majorHAnsi" w:eastAsia="Calibri" w:hAnsiTheme="majorHAns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737C9C02" w14:textId="77777777" w:rsidR="00281541" w:rsidRPr="00281541" w:rsidRDefault="00281541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087C68C2" w14:textId="77777777" w:rsidR="003A2D43" w:rsidRPr="00281541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281541">
        <w:rPr>
          <w:rFonts w:asciiTheme="majorHAnsi" w:eastAsia="Calibri" w:hAnsiTheme="majorHAns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6C8ABB95" w14:textId="77777777" w:rsidR="003A2D43" w:rsidRPr="00281541" w:rsidRDefault="003A2D43" w:rsidP="005B7155">
      <w:pPr>
        <w:rPr>
          <w:rFonts w:asciiTheme="majorHAnsi" w:hAnsiTheme="majorHAnsi"/>
        </w:rPr>
      </w:pPr>
    </w:p>
    <w:sectPr w:rsidR="003A2D43" w:rsidRPr="00281541" w:rsidSect="00493268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EA21" w14:textId="77777777" w:rsidR="00A7132D" w:rsidRDefault="00A7132D" w:rsidP="00C06B3D">
      <w:pPr>
        <w:spacing w:after="0" w:line="240" w:lineRule="auto"/>
      </w:pPr>
      <w:r>
        <w:separator/>
      </w:r>
    </w:p>
  </w:endnote>
  <w:endnote w:type="continuationSeparator" w:id="0">
    <w:p w14:paraId="5AAF8507" w14:textId="77777777" w:rsidR="00A7132D" w:rsidRDefault="00A7132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001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2E98D" w14:textId="06600A8D" w:rsidR="004D090C" w:rsidRDefault="004D090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/7</w:t>
        </w:r>
      </w:p>
    </w:sdtContent>
  </w:sdt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7E5E1" w14:textId="77777777" w:rsidR="00A7132D" w:rsidRDefault="00A7132D" w:rsidP="00C06B3D">
      <w:pPr>
        <w:spacing w:after="0" w:line="240" w:lineRule="auto"/>
      </w:pPr>
      <w:r>
        <w:separator/>
      </w:r>
    </w:p>
  </w:footnote>
  <w:footnote w:type="continuationSeparator" w:id="0">
    <w:p w14:paraId="6BF18E2F" w14:textId="77777777" w:rsidR="00A7132D" w:rsidRDefault="00A7132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16697916">
          <wp:extent cx="5019675" cy="8597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701" cy="88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D4"/>
    <w:multiLevelType w:val="hybridMultilevel"/>
    <w:tmpl w:val="F2A8A3D2"/>
    <w:lvl w:ilvl="0" w:tplc="00A031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26F"/>
    <w:multiLevelType w:val="hybridMultilevel"/>
    <w:tmpl w:val="D3146378"/>
    <w:lvl w:ilvl="0" w:tplc="00A031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7A5F"/>
    <w:multiLevelType w:val="hybridMultilevel"/>
    <w:tmpl w:val="D97C2642"/>
    <w:lvl w:ilvl="0" w:tplc="00A031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33316"/>
    <w:multiLevelType w:val="hybridMultilevel"/>
    <w:tmpl w:val="AD124074"/>
    <w:lvl w:ilvl="0" w:tplc="00A031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6909"/>
    <w:multiLevelType w:val="hybridMultilevel"/>
    <w:tmpl w:val="7610BCE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2302"/>
    <w:multiLevelType w:val="hybridMultilevel"/>
    <w:tmpl w:val="762A8362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B6932"/>
    <w:multiLevelType w:val="hybridMultilevel"/>
    <w:tmpl w:val="D1924E66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A0556"/>
    <w:multiLevelType w:val="hybridMultilevel"/>
    <w:tmpl w:val="A2DA0C9C"/>
    <w:lvl w:ilvl="0" w:tplc="1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77592"/>
    <w:multiLevelType w:val="hybridMultilevel"/>
    <w:tmpl w:val="4C38688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17F5D"/>
    <w:multiLevelType w:val="hybridMultilevel"/>
    <w:tmpl w:val="48FA3050"/>
    <w:lvl w:ilvl="0" w:tplc="90F0AC8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BF9"/>
    <w:multiLevelType w:val="hybridMultilevel"/>
    <w:tmpl w:val="E7A4356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95152"/>
    <w:multiLevelType w:val="hybridMultilevel"/>
    <w:tmpl w:val="FF503898"/>
    <w:lvl w:ilvl="0" w:tplc="1C0A000F">
      <w:start w:val="1"/>
      <w:numFmt w:val="decimal"/>
      <w:lvlText w:val="%1."/>
      <w:lvlJc w:val="left"/>
      <w:pPr>
        <w:ind w:left="1068" w:hanging="360"/>
      </w:p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24439"/>
    <w:multiLevelType w:val="hybridMultilevel"/>
    <w:tmpl w:val="DF08F25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11"/>
  </w:num>
  <w:num w:numId="8">
    <w:abstractNumId w:val="8"/>
  </w:num>
  <w:num w:numId="9">
    <w:abstractNumId w:val="15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0"/>
  </w:num>
  <w:num w:numId="15">
    <w:abstractNumId w:val="5"/>
  </w:num>
  <w:num w:numId="16">
    <w:abstractNumId w:val="17"/>
  </w:num>
  <w:num w:numId="17">
    <w:abstractNumId w:val="19"/>
  </w:num>
  <w:num w:numId="18">
    <w:abstractNumId w:val="13"/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A05FC"/>
    <w:rsid w:val="000C2168"/>
    <w:rsid w:val="000C3B01"/>
    <w:rsid w:val="000C6AF2"/>
    <w:rsid w:val="000D3871"/>
    <w:rsid w:val="000F6AF3"/>
    <w:rsid w:val="001340F3"/>
    <w:rsid w:val="00163278"/>
    <w:rsid w:val="00175C53"/>
    <w:rsid w:val="00175E62"/>
    <w:rsid w:val="001778AD"/>
    <w:rsid w:val="001D6524"/>
    <w:rsid w:val="001E145F"/>
    <w:rsid w:val="001F600F"/>
    <w:rsid w:val="002225A7"/>
    <w:rsid w:val="00226A3F"/>
    <w:rsid w:val="002348DA"/>
    <w:rsid w:val="0024409E"/>
    <w:rsid w:val="0027018B"/>
    <w:rsid w:val="00271A1B"/>
    <w:rsid w:val="00281541"/>
    <w:rsid w:val="00284609"/>
    <w:rsid w:val="002B622C"/>
    <w:rsid w:val="002D7F02"/>
    <w:rsid w:val="00312A66"/>
    <w:rsid w:val="00321D54"/>
    <w:rsid w:val="00335EC0"/>
    <w:rsid w:val="00343C72"/>
    <w:rsid w:val="00346356"/>
    <w:rsid w:val="00363C07"/>
    <w:rsid w:val="00376B0D"/>
    <w:rsid w:val="00387996"/>
    <w:rsid w:val="003903A8"/>
    <w:rsid w:val="003A2D43"/>
    <w:rsid w:val="003C58B0"/>
    <w:rsid w:val="003D5688"/>
    <w:rsid w:val="003D59A9"/>
    <w:rsid w:val="003E67DC"/>
    <w:rsid w:val="003F529B"/>
    <w:rsid w:val="00421553"/>
    <w:rsid w:val="00455873"/>
    <w:rsid w:val="004800F4"/>
    <w:rsid w:val="00493268"/>
    <w:rsid w:val="004C43F1"/>
    <w:rsid w:val="004D090C"/>
    <w:rsid w:val="004D3EC6"/>
    <w:rsid w:val="004F4199"/>
    <w:rsid w:val="004F749C"/>
    <w:rsid w:val="00506607"/>
    <w:rsid w:val="00515B3D"/>
    <w:rsid w:val="00572687"/>
    <w:rsid w:val="005A789A"/>
    <w:rsid w:val="005B7155"/>
    <w:rsid w:val="005D2E7D"/>
    <w:rsid w:val="005E31EA"/>
    <w:rsid w:val="005F01EB"/>
    <w:rsid w:val="0060122E"/>
    <w:rsid w:val="006237BD"/>
    <w:rsid w:val="006248CD"/>
    <w:rsid w:val="00642CD0"/>
    <w:rsid w:val="006902A7"/>
    <w:rsid w:val="006B6605"/>
    <w:rsid w:val="006B7D30"/>
    <w:rsid w:val="00713CE4"/>
    <w:rsid w:val="00721608"/>
    <w:rsid w:val="0073635E"/>
    <w:rsid w:val="00736CB7"/>
    <w:rsid w:val="007C4806"/>
    <w:rsid w:val="007F0DBC"/>
    <w:rsid w:val="007F61C3"/>
    <w:rsid w:val="00851698"/>
    <w:rsid w:val="0085529B"/>
    <w:rsid w:val="00865992"/>
    <w:rsid w:val="00872515"/>
    <w:rsid w:val="008A1E75"/>
    <w:rsid w:val="008A46E6"/>
    <w:rsid w:val="008B1EB6"/>
    <w:rsid w:val="008B7E98"/>
    <w:rsid w:val="008C3A3B"/>
    <w:rsid w:val="008F0860"/>
    <w:rsid w:val="008F4D89"/>
    <w:rsid w:val="0092028E"/>
    <w:rsid w:val="00943330"/>
    <w:rsid w:val="0096036F"/>
    <w:rsid w:val="00997D57"/>
    <w:rsid w:val="009D3B16"/>
    <w:rsid w:val="00A0004A"/>
    <w:rsid w:val="00A12EAB"/>
    <w:rsid w:val="00A13201"/>
    <w:rsid w:val="00A2421B"/>
    <w:rsid w:val="00A64887"/>
    <w:rsid w:val="00A7132D"/>
    <w:rsid w:val="00A84970"/>
    <w:rsid w:val="00A914E7"/>
    <w:rsid w:val="00AB1F86"/>
    <w:rsid w:val="00AB23DA"/>
    <w:rsid w:val="00AC70C8"/>
    <w:rsid w:val="00AE34A0"/>
    <w:rsid w:val="00AF634E"/>
    <w:rsid w:val="00B04604"/>
    <w:rsid w:val="00B06FE6"/>
    <w:rsid w:val="00B111B4"/>
    <w:rsid w:val="00B21327"/>
    <w:rsid w:val="00B227C9"/>
    <w:rsid w:val="00B31E8C"/>
    <w:rsid w:val="00B547D6"/>
    <w:rsid w:val="00B7196B"/>
    <w:rsid w:val="00B740EC"/>
    <w:rsid w:val="00BA0B1A"/>
    <w:rsid w:val="00C01299"/>
    <w:rsid w:val="00C04C06"/>
    <w:rsid w:val="00C06B3D"/>
    <w:rsid w:val="00C43DD9"/>
    <w:rsid w:val="00C701DD"/>
    <w:rsid w:val="00CA25A9"/>
    <w:rsid w:val="00CA2830"/>
    <w:rsid w:val="00CD7217"/>
    <w:rsid w:val="00CF147C"/>
    <w:rsid w:val="00D06E10"/>
    <w:rsid w:val="00D43AF4"/>
    <w:rsid w:val="00D61F2C"/>
    <w:rsid w:val="00D71F95"/>
    <w:rsid w:val="00D8786A"/>
    <w:rsid w:val="00D955DB"/>
    <w:rsid w:val="00DD5CD5"/>
    <w:rsid w:val="00DE6B99"/>
    <w:rsid w:val="00E03B1A"/>
    <w:rsid w:val="00E454DF"/>
    <w:rsid w:val="00E50274"/>
    <w:rsid w:val="00E77082"/>
    <w:rsid w:val="00E77547"/>
    <w:rsid w:val="00E80C9F"/>
    <w:rsid w:val="00EA0F50"/>
    <w:rsid w:val="00EE26C1"/>
    <w:rsid w:val="00F06397"/>
    <w:rsid w:val="00F206EE"/>
    <w:rsid w:val="00F71378"/>
    <w:rsid w:val="00F924F5"/>
    <w:rsid w:val="00FA628C"/>
    <w:rsid w:val="00FA6C08"/>
    <w:rsid w:val="00FB1EC7"/>
    <w:rsid w:val="00FB4A25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A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therine.antigua@cecanot.com.d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1472</Words>
  <Characters>8099</Characters>
  <Application>Microsoft Office Word</Application>
  <DocSecurity>0</DocSecurity>
  <Lines>67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        Forma de Pago </vt:lpstr>
      <vt:lpstr>        Tiempo de entrega</vt:lpstr>
      <vt:lpstr>        Procedimiento de Selección.</vt:lpstr>
      <vt:lpstr>        Capacidad para ofertar.</vt:lpstr>
      <vt:lpstr>        </vt:lpstr>
      <vt:lpstr>        Consultas, circulares y enmiendas </vt:lpstr>
      <vt:lpstr>        </vt:lpstr>
      <vt:lpstr>        Cronograma de actividades</vt:lpstr>
      <vt:lpstr>        </vt:lpstr>
      <vt:lpstr>        Criterios de Evaluación</vt:lpstr>
      <vt:lpstr>        </vt:lpstr>
      <vt:lpstr>        Criterios de Adjudicación</vt:lpstr>
      <vt:lpstr/>
    </vt:vector>
  </TitlesOfParts>
  <Company>Windows User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katherine Antigua Alcantara</cp:lastModifiedBy>
  <cp:revision>7</cp:revision>
  <cp:lastPrinted>2021-04-27T18:38:00Z</cp:lastPrinted>
  <dcterms:created xsi:type="dcterms:W3CDTF">2021-04-27T11:26:00Z</dcterms:created>
  <dcterms:modified xsi:type="dcterms:W3CDTF">2021-04-27T18:48:00Z</dcterms:modified>
</cp:coreProperties>
</file>